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phương pháp trích khấu hao tài sản cố định/Thông báo về việc chuyển lợi nhuận ra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(i) Đối với Thông báo phương pháp trích khấu hao tài sản cố định: Doanh nghiệp lập thông báo phương pháp trích khấu hao tài sản cố định mà doanh nghiệp lựa chọn áp dụng và gửi đến cơ quan thuế trực tiếp quản lý trước khi thực hiện trích khấu hao theo quy định.
(ii) Đối với Thông báo về việc chuyển lợi nhuận ra nước ngoài: Nhà đầu tư nước ngoài trực tiếp hoặc uỷ quyền cho doanh nghiệp mà nhà đầu tư nước ngoài tham gia đầu tư thực hiện thông báo việc chuyển lợi nhuận ra nước ngoài theo mẫu và gửi cho cơ quan thuế trực tiếp quản lý doanh nghiệp mà nhà đầu tư nước ngoài tham gia đầu tư, trước khi thực hiện chuyển lợi nhuận ra nước ngoài ít nhất 7 ngày làm việc.</w:t>
      </w:r>
    </w:p>
    <w:p>
      <w:pPr>
        <w:spacing w:after="0" w:before="0" w:lineRule="auto" w:line="276"/>
        <w:jc w:val="both"/>
      </w:pPr>
      <w:r>
        <w:rPr>
          <w:rFonts w:ascii="Times New Roman" w:hAnsi="Times New Roman" w:cs="Times New Roman" w:eastAsia="Times New Roman"/>
          <w:b w:val="false"/>
          <w:sz w:val="26"/>
        </w:rPr>
        <w:t>+  Bước 2. Cơ quan thuế tiếp nhận:
++ Trường hợp hồ sơ được nộp trực tiếp tại cơ quan thuế, công chức thuế tiếp nhận và đóng dấu tiếp nhận hồ sơ, ghi thời gian nhận hồ sơ, ghi nhận số lượng tài liệu trong hồ sơ và ghi vào sổ văn thư của cơ quan thuế.
++ Trường hợp hồ sơ được gửi qua đường bưu chính, công chức thuế đóng dấu ghi ngày nhận hồ sơ và ghi vào sổ văn thư của cơ quan thuế.
++ Trường hợp hồ sơ được nộp thông qua giao dịch điện tử, việc tiếp nhận, kiểm tra, chấp nhận hồ sơ khai thuế do cơ quan thuế thực hiện thông qua hệ thống xử lý dữ liệu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lại kết quả cho người nộp thuế
Trực tiếp: Tại TTPVHCC cấp tỉnh,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lại kết quả cho người nộp thuế. 
Trực tuyến: Qua Cổng dịch vụ công quốc gia/Hệ thống thông tin giải quyết TTHC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phải trả lại kết quả cho người nộp thuế
Thông qua dịch vụ bưu chính công ích theo quy định của Thủ tướng Chính phủ, qua thuê dịch vụ của doanh nghiệp, cá nhân hoặc qua ủy quyền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Mẫu thông báo chuyển lợi nhuận ra nước ngoài ban hành kèm theo Thông tư số 186/2011/TT-BTC</w:t>
            </w:r>
          </w:p>
        </w:tc>
        <w:tc>
          <w:p/>
          <w:p>
            <w:pPr>
              <w:spacing w:after="0" w:before="0" w:lineRule="auto" w:line="276"/>
              <w:jc w:val="left"/>
            </w:pPr>
            <w:r>
              <w:rPr>
                <w:rFonts w:ascii="Times New Roman" w:hAnsi="Times New Roman" w:cs="Times New Roman" w:eastAsia="Times New Roman"/>
                <w:b w:val="false"/>
                <w:sz w:val="26"/>
              </w:rPr>
              <w:t>MTB gửi LN ra NN.doc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Thông báo phương pháp trích khấu hao tài sản cố định: Thông báo phương pháp trích khấu hao tài sản cố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Thuế - Bộ tài chính, 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45/2013/TT-BTC</w:t>
            </w:r>
          </w:p>
        </w:tc>
        <w:tc>
          <w:p/>
          <w:p>
            <w:pPr>
              <w:spacing w:after="0" w:before="0" w:lineRule="auto" w:line="276"/>
              <w:jc w:val="left"/>
            </w:pPr>
            <w:r>
              <w:rPr>
                <w:rFonts w:ascii="Times New Roman" w:hAnsi="Times New Roman" w:cs="Times New Roman" w:eastAsia="Times New Roman"/>
                <w:b w:val="false"/>
                <w:sz w:val="26"/>
              </w:rPr>
              <w:t>Thông tư 45/2013/TT-BTC</w:t>
            </w:r>
          </w:p>
        </w:tc>
        <w:tc>
          <w:p/>
          <w:p>
            <w:pPr>
              <w:spacing w:after="0" w:before="0" w:lineRule="auto" w:line="276"/>
              <w:jc w:val="left"/>
            </w:pPr>
            <w:r>
              <w:rPr>
                <w:rFonts w:ascii="Times New Roman" w:hAnsi="Times New Roman" w:cs="Times New Roman" w:eastAsia="Times New Roman"/>
                <w:b w:val="false"/>
                <w:sz w:val="26"/>
              </w:rPr>
              <w:t>25-04-2013</w:t>
            </w:r>
          </w:p>
        </w:tc>
        <w:tc>
          <w:p/>
        </w:tc>
      </w:tr>
      <w:tr>
        <w:tc>
          <w:p/>
          <w:p>
            <w:pPr>
              <w:spacing w:after="0" w:before="0" w:lineRule="auto" w:line="276"/>
              <w:jc w:val="left"/>
            </w:pPr>
            <w:r>
              <w:rPr>
                <w:rFonts w:ascii="Times New Roman" w:hAnsi="Times New Roman" w:cs="Times New Roman" w:eastAsia="Times New Roman"/>
                <w:b w:val="false"/>
                <w:sz w:val="26"/>
              </w:rPr>
              <w:t>186/2010/TT-BTC</w:t>
            </w:r>
          </w:p>
        </w:tc>
        <w:tc>
          <w:p/>
          <w:p>
            <w:pPr>
              <w:spacing w:after="0" w:before="0" w:lineRule="auto" w:line="276"/>
              <w:jc w:val="left"/>
            </w:pPr>
            <w:r>
              <w:rPr>
                <w:rFonts w:ascii="Times New Roman" w:hAnsi="Times New Roman" w:cs="Times New Roman" w:eastAsia="Times New Roman"/>
                <w:b w:val="false"/>
                <w:sz w:val="26"/>
              </w:rPr>
              <w:t>Thông tư 186/2010/TT-BTC</w:t>
            </w:r>
          </w:p>
        </w:tc>
        <w:tc>
          <w:p/>
          <w:p>
            <w:pPr>
              <w:spacing w:after="0" w:before="0" w:lineRule="auto" w:line="276"/>
              <w:jc w:val="left"/>
            </w:pPr>
            <w:r>
              <w:rPr>
                <w:rFonts w:ascii="Times New Roman" w:hAnsi="Times New Roman" w:cs="Times New Roman" w:eastAsia="Times New Roman"/>
                <w:b w:val="false"/>
                <w:sz w:val="26"/>
              </w:rPr>
              <w:t>18-11-2010</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và Thông tư số 46/2024/TT-BTC của 09/07/2025 sửa đổi, bổ sung một số điều của Thông tư số 19/2021/TT-BTC ngày 18/3/2021 hướng dẫn giao dịch điện tử trong lĩnh vực thuế của Bộ Tài chính.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2026-05-26T19:41:24Z</dcterms:created>
  <dc:creator>Apache POI</dc:creator>
</cp:coreProperties>
</file>