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285/QĐ-BGTVT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phương án bảo đảm an toàn giao thông đối với các công trình thi công liên quan đến đường thủy nội địa địa phương; đường thuỷ nội địa chuyên dùng nối với đường thuỷ nội địa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Trước khi thi công công trình liên quan đến giao thông đường thủy nội địa, chủ đầu tư hoặc tổ chức, cá nhân thi công dự án gửi hồ sơ theo quy định đến Sở Giao thông vận tải.</w:t>
      </w:r>
    </w:p>
    <w:p>
      <w:pPr>
        <w:spacing w:after="0" w:before="0" w:lineRule="auto" w:line="276"/>
        <w:jc w:val="both"/>
      </w:pPr>
      <w:r>
        <w:rPr>
          <w:rFonts w:ascii="Times New Roman" w:hAnsi="Times New Roman" w:cs="Times New Roman" w:eastAsia="Times New Roman"/>
          <w:b w:val="false"/>
          <w:sz w:val="26"/>
        </w:rPr>
        <w:t>b) Giải quyết TTHC:</w:t>
      </w:r>
    </w:p>
    <w:p>
      <w:pPr>
        <w:spacing w:after="0" w:before="0" w:lineRule="auto" w:line="276"/>
        <w:jc w:val="both"/>
      </w:pPr>
      <w:r>
        <w:rPr>
          <w:rFonts w:ascii="Times New Roman" w:hAnsi="Times New Roman" w:cs="Times New Roman" w:eastAsia="Times New Roman"/>
          <w:b w:val="false"/>
          <w:sz w:val="26"/>
        </w:rPr>
        <w:t>- Sở Giao thông vận tải tiếp nhận hồ sơ. Trường hợp hồ sơ chưa rõ ràng, đầy đủ theo quy định thì trong thời hạn 02 (hai) ngày làm việc, kể từ ngày nhận được hồ sơ, Sở Giao thông vận tải phải hướng dẫn tổ chức, cá nhân hoàn thiện hồ sơ;</w:t>
      </w:r>
    </w:p>
    <w:p>
      <w:pPr>
        <w:spacing w:after="0" w:before="0" w:lineRule="auto" w:line="276"/>
        <w:jc w:val="both"/>
      </w:pPr>
      <w:r>
        <w:rPr>
          <w:rFonts w:ascii="Times New Roman" w:hAnsi="Times New Roman" w:cs="Times New Roman" w:eastAsia="Times New Roman"/>
          <w:b w:val="false"/>
          <w:sz w:val="26"/>
        </w:rPr>
        <w:t>- Chậm nhất 05 (năm) ngày làm việc, kể từ ngày nhận đủ hồ sơ theo quy định, Sở Giao thông vận tải có văn bản chấp thuận. Trường hợp không chấp thuận phương án bảo đảm an toàn giao thông, Sở Giao thông vận tải phải trả lời bằng văn bản và nêu rõ lý do.</w:t>
      </w:r>
    </w:p>
    <w:p>
      <w:pPr>
        <w:spacing w:after="0" w:before="0" w:lineRule="auto" w:line="276"/>
        <w:jc w:val="both"/>
      </w:pPr>
      <w:r>
        <w:rPr>
          <w:rFonts w:ascii="Times New Roman" w:hAnsi="Times New Roman" w:cs="Times New Roman" w:eastAsia="Times New Roman"/>
          <w:b w:val="false"/>
          <w:sz w:val="26"/>
        </w:rPr>
        <w:t>- Chủ đầu tư hoặc tổ chức, cá nhân thi công công trình và cơ quan có thẩm quyền thống nhất xác định vùng nước và hiện trạng luồng trong phạm vi thi công công trình.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Chậm nhất là 05 (năm)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Chậm nhất là 05 (năm)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chấp thuận phương án bảo đảm an toàn giao thông đường thủy nội địa theo mẫu quy định</w:t>
            </w:r>
          </w:p>
        </w:tc>
        <w:tc>
          <w:p/>
          <w:p>
            <w:pPr>
              <w:spacing w:after="0" w:before="0" w:lineRule="auto" w:line="276"/>
              <w:jc w:val="left"/>
            </w:pPr>
            <w:r>
              <w:rPr>
                <w:rFonts w:ascii="Times New Roman" w:hAnsi="Times New Roman" w:cs="Times New Roman" w:eastAsia="Times New Roman"/>
                <w:b w:val="false"/>
                <w:sz w:val="26"/>
              </w:rPr>
              <w:t>Mẫu3.doc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thi công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bảo đảm an toàn giao thông đường thủy nội địa khu vực thi công công trình, bao gồm:  + Thuyết minh chung về phương án;  + Bản vẽ mặt bằng tổng thể thể hiện phương án bố trí báo hiệu bảo đảm an toàn giao thông, vị trí các trạm điều tiết khống chế, bố trí phương tiện điều tiết khống chế;  + Phương án bố trí nhân lực;  + Quy chế hướng dẫn phương tiện qua khu vực thi công;  + Thời gian thực hiện phương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phương án bảo đảm an toàn giao thông điều chỉnh, ngoài các nội dung quy định trên, phải nêu rõ lý do điều chỉnh cho mỗi trường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Không có</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15/2016/TT-BGTVT</w:t>
            </w:r>
          </w:p>
        </w:tc>
        <w:tc>
          <w:p/>
          <w:p>
            <w:pPr>
              <w:spacing w:after="0" w:before="0" w:lineRule="auto" w:line="276"/>
              <w:jc w:val="left"/>
            </w:pPr>
            <w:r>
              <w:rPr>
                <w:rFonts w:ascii="Times New Roman" w:hAnsi="Times New Roman" w:cs="Times New Roman" w:eastAsia="Times New Roman"/>
                <w:b w:val="false"/>
                <w:sz w:val="26"/>
              </w:rPr>
              <w:t>Quy định về quản lý đường thủy nội địa</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2026-04-29T10:09:46Z</dcterms:created>
  <dc:creator>Apache POI</dc:creator>
</cp:coreProperties>
</file>