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2268/QĐ-UBND-ĐT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tra, phê duyệt quyết toán vốn đầu tư các dự án do do Sở Nông nghiệp và Phát triển nông thôn hoặc đơn vị trực thuộc Sở làm chủ đầu tư có tổng mức đầu tư dưới 500 triệu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xây dựng công trình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nộp hồ sơ đến Bộ phận Tiếp nhận và trả kết quả của Sở Nông nghiệp và Phát triển nông thôn thành phố Đà Nẵng.
Bước 2: Kiểm tra tính hợp lệ và đầy đủ giấy tờ có trong hồ sơ, yêu cầu bổ sung, hoàn thiện nếu hồ sơ chưa đầy đủ hợp lệ. 
Bước 3: Sở Nông nghiệp và Phát triển nông thôn thành phố Đà Nẵng tiến hành giải quyết hồ sơ.
Bước 4: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38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tại Thông tư số 10/2020/TT-BTC ngày 20 tháng 02 năm 2020 của Bộ trưởng Bộ Tài chính quy định về quyết toán dự án hoàn thành thuộc nguồn vốn nhà nước.)</w:t>
            </w:r>
          </w:p>
        </w:tc>
        <w:tc>
          <w:p/>
          <w:p>
            <w:pPr>
              <w:spacing w:after="0" w:before="0" w:lineRule="auto" w:line="276"/>
              <w:jc w:val="left"/>
            </w:pPr>
            <w:r>
              <w:rPr>
                <w:rFonts w:ascii="Times New Roman" w:hAnsi="Times New Roman" w:cs="Times New Roman" w:eastAsia="Times New Roman"/>
                <w:b w:val="false"/>
                <w:sz w:val="26"/>
              </w:rPr>
              <w:t>Thời gian thẩm tra tối đa không quá 30 ngày làm việc, thời gian phê duyệt quyết toán tối đa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38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tại Thông tư số 10/2020/TT-BTC ngày 20 tháng 02 năm 2020 của Bộ trưởng Bộ Tài chính quy định về quyết toán dự án hoàn thành thuộc nguồn vốn nhà nước.)</w:t>
            </w:r>
          </w:p>
        </w:tc>
        <w:tc>
          <w:p/>
          <w:p>
            <w:pPr>
              <w:spacing w:after="0" w:before="0" w:lineRule="auto" w:line="276"/>
              <w:jc w:val="left"/>
            </w:pPr>
            <w:r>
              <w:rPr>
                <w:rFonts w:ascii="Times New Roman" w:hAnsi="Times New Roman" w:cs="Times New Roman" w:eastAsia="Times New Roman"/>
                <w:b w:val="false"/>
                <w:sz w:val="26"/>
              </w:rPr>
              <w:t>Thời gian thẩm tra tối đa không quá 30 ngày làm việc, thời gian phê duyệt quyết toán tối đa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pháp lý (bản chính hoặc bản do chủ đầu tư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quyết toán của chủ đầu tư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liên quan về chủ trương thực hiện, nguồn vốn đầu tư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phê duyệt Báo cáo kinh tế kỹ thuật, dự toán - thiết kế bản vẽ thi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phê duyệt kết quả lựa chọn nhà thầu tư vấn khảo sát, thiết kế; thẩm tra; nhà thầu thi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xây dựng và các phụ lục hợp đồng (nếu có); các biên bản nghiệm thu khối lượng hoàn thành theo giai đoạn thanh toán; biên bản nghiệm thu khối lượng hoàn thành toàn bộ hợp đồng; bảng tính giá trị quyết toán hợp đồng (quyết toán A-B); biên bản thanh lý hợp đồng đối với trường hợp đã đủ điều kiện thanh lý hợp đồng theo quy định của pháp luật về hợp đồng; các tài liệu khác theo thỏa thuận trong hợp đồng liên quan đến nội dung thẩm tra, phê duyệt quyết toán dự án hoàn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quyết toán dự án hoàn thành (bản chính) theo quy định tại Thông tư số 10/2020/TT-BTC ngày 20 tháng 02 năm 2020 của Bộ trưởng Bộ Tài chính quy định về quyết toán dự án hoàn thành thuộc nguồn vốn nhà nước và có xác nhận của kho bạc.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luận thanh tra, biên bản kiểm tra, báo cáo kiểm toán của các cơ quan: Thanh tra, kiểm tra, kiểm toán nhà nước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dự toán - thiết kế được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Hồ sơ nghiệm thu, hoàn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bàn giao mặt bằng thi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bộ phận công trình xây dựng, giai đoạn thi công xây dựng công trình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hoàn thành hạng mục công trình, công trình xây dựng để đưa vào sử dụng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kết quả nghiệm thu của cơ quan nhà nước có thẩm quyền (bản chính hoặc bản do chủ đầu tư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bàn giao công trình để đưa vào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chất lượng của nhà sản xuất (trừ các công trình duy tu, sửa chữa), kết quả thí nghiệm vật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Nhật ký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hoàn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Hồ sơ quyết toán chi tiết: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khối lượng hoàn thành kèm theo bản khối lượng chi tiết được xác nhận giữa A &amp; B;</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Toàn bộ quyết toán chi tiết giá trị khối lượng xây dựng giữa A &amp; B;</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thành lập ban quản lý; Bảng quyết toán chi tiết chi phí quản lý dự án và các khoản chi phí khác, đính kèm chứng từ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Hoá đơn, chứng từ mua bán vật tư, thiết bị hợp lệ, hợp pháp (trừ vật tư có trong Thông báo giá áp dụng trên địa bàn thành phố Đà Nẵng); biên lai thu các loại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Đĩa CD chứa thông tin dữ liệu về hồ sơ quyết toán (được thực hiện trên phần mềm Microsoft Excel và sử dụng phông chữ Times new Roman).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Ghi chú: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Mỗi phần hồ sơ đóng thành tập để thuận tiện kiểm tra, lưu trữ;</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ra tuỳ đặc điểm của công trình mà đơn vị có trách nhiệm xuất trình các tài liệu có liên quan để phục vụ công tác thẩm tra quyết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Toàn bộ hồ sơ đến người có thẩm quyền quyết định phê duyệt quyết toán là bản chính hoặc bản do chủ đầu tư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Phát triển nông thôn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Phát triển Nông thôn thành phố Đà Nẵng, Số 03 Lý Tự Trọng, P. Thạch Thang, Q. Hải Châu, TP.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68/2019/NĐ-CP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14-08-2019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46/2015/NĐ-CP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12-05-2015</w:t>
            </w:r>
          </w:p>
        </w:tc>
        <w:tc>
          <w:p/>
        </w:tc>
      </w:tr>
      <w:tr>
        <w:tc>
          <w:p/>
          <w:p>
            <w:pPr>
              <w:spacing w:after="0" w:before="0" w:lineRule="auto" w:line="276"/>
              <w:jc w:val="left"/>
            </w:pPr>
            <w:r>
              <w:rPr>
                <w:rFonts w:ascii="Times New Roman" w:hAnsi="Times New Roman" w:cs="Times New Roman" w:eastAsia="Times New Roman"/>
                <w:b w:val="false"/>
                <w:sz w:val="26"/>
              </w:rPr>
              <w:t>15/2016/QĐ-UBND</w:t>
            </w:r>
          </w:p>
        </w:tc>
        <w:tc>
          <w:p/>
          <w:p>
            <w:pPr>
              <w:spacing w:after="0" w:before="0" w:lineRule="auto" w:line="276"/>
              <w:jc w:val="left"/>
            </w:pPr>
            <w:r>
              <w:rPr>
                <w:rFonts w:ascii="Times New Roman" w:hAnsi="Times New Roman" w:cs="Times New Roman" w:eastAsia="Times New Roman"/>
                <w:b w:val="false"/>
                <w:sz w:val="26"/>
              </w:rPr>
              <w:t>Ban hành Quy định một số nội dung về mua sắm, quản lý đầu tư và xây dựng trên địa bàn thành phố Đà Nẵng</w:t>
            </w:r>
          </w:p>
        </w:tc>
        <w:tc>
          <w:p/>
          <w:p>
            <w:pPr>
              <w:spacing w:after="0" w:before="0" w:lineRule="auto" w:line="276"/>
              <w:jc w:val="left"/>
            </w:pPr>
            <w:r>
              <w:rPr>
                <w:rFonts w:ascii="Times New Roman" w:hAnsi="Times New Roman" w:cs="Times New Roman" w:eastAsia="Times New Roman"/>
                <w:b w:val="false"/>
                <w:sz w:val="26"/>
              </w:rPr>
              <w:t>20-05-2016</w:t>
            </w:r>
          </w:p>
        </w:tc>
        <w:tc>
          <w:p/>
          <w:p>
            <w:pPr>
              <w:spacing w:after="0" w:before="0" w:lineRule="auto" w:line="276"/>
              <w:jc w:val="left"/>
            </w:pPr>
            <w:r>
              <w:rPr>
                <w:rFonts w:ascii="Times New Roman" w:hAnsi="Times New Roman" w:cs="Times New Roman" w:eastAsia="Times New Roman"/>
                <w:b w:val="false"/>
                <w:sz w:val="26"/>
              </w:rPr>
              <w:t>UBND Thành phố Đà Nẵng</w:t>
            </w:r>
          </w:p>
        </w:tc>
      </w:tr>
      <w:tr>
        <w:tc>
          <w:p/>
          <w:p>
            <w:pPr>
              <w:spacing w:after="0" w:before="0" w:lineRule="auto" w:line="276"/>
              <w:jc w:val="left"/>
            </w:pPr>
            <w:r>
              <w:rPr>
                <w:rFonts w:ascii="Times New Roman" w:hAnsi="Times New Roman" w:cs="Times New Roman" w:eastAsia="Times New Roman"/>
                <w:b w:val="false"/>
                <w:sz w:val="26"/>
              </w:rPr>
              <w:t>12/2020/QĐ-UBND</w:t>
            </w:r>
          </w:p>
        </w:tc>
        <w:tc>
          <w:p/>
          <w:p>
            <w:pPr>
              <w:spacing w:after="0" w:before="0" w:lineRule="auto" w:line="276"/>
              <w:jc w:val="left"/>
            </w:pPr>
            <w:r>
              <w:rPr>
                <w:rFonts w:ascii="Times New Roman" w:hAnsi="Times New Roman" w:cs="Times New Roman" w:eastAsia="Times New Roman"/>
                <w:b w:val="false"/>
                <w:sz w:val="26"/>
              </w:rPr>
              <w:t>Quy định nội dung về quản lý đầu tư và xây dựng trên địa bàn thành phố Đà Nẵng</w:t>
            </w:r>
          </w:p>
        </w:tc>
        <w:tc>
          <w:p/>
          <w:p>
            <w:pPr>
              <w:spacing w:after="0" w:before="0" w:lineRule="auto" w:line="276"/>
              <w:jc w:val="left"/>
            </w:pPr>
            <w:r>
              <w:rPr>
                <w:rFonts w:ascii="Times New Roman" w:hAnsi="Times New Roman" w:cs="Times New Roman" w:eastAsia="Times New Roman"/>
                <w:b w:val="false"/>
                <w:sz w:val="26"/>
              </w:rPr>
              <w:t>11-05-2020</w:t>
            </w:r>
          </w:p>
        </w:tc>
        <w:tc>
          <w:p/>
          <w:p>
            <w:pPr>
              <w:spacing w:after="0" w:before="0" w:lineRule="auto" w:line="276"/>
              <w:jc w:val="left"/>
            </w:pPr>
            <w:r>
              <w:rPr>
                <w:rFonts w:ascii="Times New Roman" w:hAnsi="Times New Roman" w:cs="Times New Roman" w:eastAsia="Times New Roman"/>
                <w:b w:val="false"/>
                <w:sz w:val="26"/>
              </w:rPr>
              <w:t>UBND Thành phố Đà Nẵng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2026-05-09T14:38:44Z</dcterms:created>
  <dc:creator>Apache POI</dc:creator>
</cp:coreProperties>
</file>