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bảo hiểm xã hội một lần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NLĐ lập hồ sơ theo quy định tại mục 9.3 (Thành phần hồ sơ) và nộp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NLĐ nhận kết quả giải quyết, gồm: Quyết định về việc hưởng BHXH một lần; Bản quá trình đóng BHXH; Tiền trợ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nộp hồ sơ Trực tiếp tại cơ quan BHXH hoặc Trung tâm phục vụ HCC các cấp (nếu có).
2. Nhận kết quả: NLĐ nhận:
- Hồ sơ giấy tờ liên quan: Theo hình thức đăng ký nhận hồ sơ (Trực tiếp tại cơ quan BHXH/Trung tâm dịch vụ HCC các cấp hoặc qua dịch vụ bưu chính công ích hoặc qua giao dịch điện tử);
- Tiền trợ cấp:
+ Thông qua tài khoản cá nhân.
+ Bằng tiền mặt tại cơ quan BHXH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nộp hồ sơ quaTrực tuyến (trường hợp hồ sơ giấy không chuyển đổi được sang hồ sơ điện tử thì gửi hồ sơ giấy về cơ quan BHXH qua dịch vụ bưu chính).
2. Nhận kết quả: NLĐ nhận:
- Hồ sơ giấy tờ liên quan: Theo hình thức đăng ký nhận hồ sơ (Trực tiếp tại cơ quan BHXH/Trung tâm dịch vụ HCC các cấp hoặc qua dịch vụ bưu chính công ích hoặc qua giao dịch điện tử);
- Tiền trợ cấp:
+ Thông qua tài khoản cá nhân.
+ Bằng tiền mặt tại cơ quan BHXH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nộp hồ sơ qua dịch vụ bưu chính công ích;
2. Nhận kết quả: NLĐ nhận:
- Hồ sơ giấy tờ liên quan: Theo hình thức đăng ký nhận hồ sơ (Trực tiếp tại cơ quan BHXH/Trung tâm dịch vụ HCC các cấp hoặc qua dịch vụ bưu chính công ích hoặc qua giao dịch điện tử);
- Tiền trợ cấp:
+ Thông qua tài khoản cá nhân.
+ Bằng tiền mặt tại cơ quan BHXH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không quy định là bản chính thì có thể nộp bản sao hợp lệ. Trường hợp nộp hồ sơ trực tuyến: thành phần hồ sơ quy định là bản sao nhưng NLĐ có thể nộp bản chính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quy định rõ bản chính thì có thể nộp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 Trường hợp hưởng BHXH một lần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Đơn đề nghị (Mẫu số 14-HSB)</w:t>
            </w:r>
          </w:p>
        </w:tc>
        <w:tc>
          <w:p/>
          <w:p>
            <w:pPr>
              <w:spacing w:after="0" w:before="0" w:lineRule="auto" w:line="276"/>
              <w:jc w:val="left"/>
            </w:pPr>
            <w:r>
              <w:rPr>
                <w:rFonts w:ascii="Times New Roman" w:hAnsi="Times New Roman" w:cs="Times New Roman" w:eastAsia="Times New Roman"/>
                <w:b w:val="false"/>
                <w:sz w:val="26"/>
              </w:rPr>
              <w:t>14_HSB.docx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Đối với người ra nước ngoài để định cư phải nộp thêm bản sao Giấy xác nhận của cơ quan có thẩm quyền về việc thôi quốc tịch Việt Nam hoặc bản dịch tiếng Việt được chứng thực hoặc công chứng một trong các giấy tờ sau đây: - Hộ chiếu do nước ngoài cấp. - Thị thực của cơ quan nước ngoài có thẩm quyền cấp có xác nhận việc cho phép nhập cảnh với lý do định cư ở nước ngoài. - Giấy tờ xác nhận về việc đang làm thủ tục nhập quốc tịch nước ngoài; giấy tờ xác nhận hoặc thẻ thường trú, cư trú có thời hạn từ 05 năm trở lên của cơ quan nước ngoài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Trường hợp bị mắc những bệnh nguy hiểm đến tính mạng như: Ung thư, bại liệt, xơ gan cổ chướng, phong, lao nặng, nhiễm HIV đã chuyển sang giai đoạn AIDS thì có thêm trích sao/tóm tắt hồ sơ bệnh án thể hiện tình trạng không tự phục vụ được; nếu bị mắc các bệnh khác thì thay bằng Biên bản giám định mức suy giảm từ 81% KNLĐ trở lên của Hội đồng GĐYK thể hiện tình trạng không tự phục vụ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Trường hợp thanh toán phí GĐYK thì có thêm hóa đơn, chứng từ thu phí giám định kèm theo bản chính bảng kê các nội dung giám định của cơ sở thực hiện GĐYK.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chính Bản khai cá nhân về thời gian, địa bàn phục vụ trong Quân đội có hưởng phụ cấp khu vực (Mẫu số 04B – HBQP ban hành kèm theo Thông tư số 136/2020/TT-BQP ngày 29/10/2020) đối với người có thời gian phục vụ trong Quân đội trước ngày 01/01/2007 tại địa bàn có hưởng phụ cấp khu vực mà sổ BHXH không thể hiện đầy đủ thông tin làm căn cứ tính phụ cấp khu vực.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lao động là công dân nước ngoài làm việc tại Việt Nam hưởng BHXH một lần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như nêu tại nội dung 1a, 1b, 1d, 1đ.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quá trình đóng BHXH, Quyết định về việc hưởng BHXH một lần, Tiền trợ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93/2015/QH13</w:t>
            </w:r>
          </w:p>
        </w:tc>
        <w:tc>
          <w:p/>
          <w:p>
            <w:pPr>
              <w:spacing w:after="0" w:before="0" w:lineRule="auto" w:line="276"/>
              <w:jc w:val="left"/>
            </w:pPr>
            <w:r>
              <w:rPr>
                <w:rFonts w:ascii="Times New Roman" w:hAnsi="Times New Roman" w:cs="Times New Roman" w:eastAsia="Times New Roman"/>
                <w:b w:val="false"/>
                <w:sz w:val="26"/>
              </w:rPr>
              <w:t>Nghị quyết 93/2015/QH13</w:t>
            </w:r>
          </w:p>
        </w:tc>
        <w:tc>
          <w:p/>
          <w:p>
            <w:pPr>
              <w:spacing w:after="0" w:before="0" w:lineRule="auto" w:line="276"/>
              <w:jc w:val="left"/>
            </w:pPr>
            <w:r>
              <w:rPr>
                <w:rFonts w:ascii="Times New Roman" w:hAnsi="Times New Roman" w:cs="Times New Roman" w:eastAsia="Times New Roman"/>
                <w:b w:val="false"/>
                <w:sz w:val="26"/>
              </w:rPr>
              <w:t>22-06-2015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 - Quy định chi tiết một số điều của luật bảo hiểm xã hội về bảo hiểm xã hội tự nguyện</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166/2016/NĐ-CP</w:t>
            </w:r>
          </w:p>
        </w:tc>
        <w:tc>
          <w:p/>
          <w:p>
            <w:pPr>
              <w:spacing w:after="0" w:before="0" w:lineRule="auto" w:line="276"/>
              <w:jc w:val="left"/>
            </w:pPr>
            <w:r>
              <w:rPr>
                <w:rFonts w:ascii="Times New Roman" w:hAnsi="Times New Roman" w:cs="Times New Roman" w:eastAsia="Times New Roman"/>
                <w:b w:val="false"/>
                <w:sz w:val="26"/>
              </w:rPr>
              <w:t>Nghị định 166/2016/NĐ-CP-Quy định về giao dịch điện tử trong lĩnh vực bảo hiểm xã hội, bảo hiểm y tế và bảo hiểm thất nghiệp</w:t>
            </w:r>
          </w:p>
        </w:tc>
        <w:tc>
          <w:p/>
          <w:p>
            <w:pPr>
              <w:spacing w:after="0" w:before="0" w:lineRule="auto" w:line="276"/>
              <w:jc w:val="left"/>
            </w:pPr>
            <w:r>
              <w:rPr>
                <w:rFonts w:ascii="Times New Roman" w:hAnsi="Times New Roman" w:cs="Times New Roman" w:eastAsia="Times New Roman"/>
                <w:b w:val="false"/>
                <w:sz w:val="26"/>
              </w:rPr>
              <w:t>24-12-2016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 -   quy định chi tiết thi hành Luật bảo hiểm xã hội và Luật an toàn vệ sinh lao động thuộc lĩnh vực y tế</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105/2016/TTLT-BQP-BCA-BLĐTBXH</w:t>
            </w:r>
          </w:p>
        </w:tc>
        <w:tc>
          <w:p/>
          <w:p>
            <w:pPr>
              <w:spacing w:after="0" w:before="0" w:lineRule="auto" w:line="276"/>
              <w:jc w:val="left"/>
            </w:pPr>
            <w:r>
              <w:rPr>
                <w:rFonts w:ascii="Times New Roman" w:hAnsi="Times New Roman" w:cs="Times New Roman" w:eastAsia="Times New Roman"/>
                <w:b w:val="false"/>
                <w:sz w:val="26"/>
              </w:rPr>
              <w:t>Thông tư liên tịch 105/2016/TTLT-BQP-BCA-BLĐTBXH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136/2020/TT-BQP</w:t>
            </w:r>
          </w:p>
        </w:tc>
        <w:tc>
          <w:p/>
          <w:p>
            <w:pPr>
              <w:spacing w:after="0" w:before="0" w:lineRule="auto" w:line="276"/>
              <w:jc w:val="left"/>
            </w:pPr>
            <w:r>
              <w:rPr>
                <w:rFonts w:ascii="Times New Roman" w:hAnsi="Times New Roman" w:cs="Times New Roman" w:eastAsia="Times New Roman"/>
                <w:b w:val="false"/>
                <w:sz w:val="26"/>
              </w:rPr>
              <w:t>Thông tư 136/2020/TT-BQP</w:t>
            </w:r>
          </w:p>
        </w:tc>
        <w:tc>
          <w:p/>
          <w:p>
            <w:pPr>
              <w:spacing w:after="0" w:before="0" w:lineRule="auto" w:line="276"/>
              <w:jc w:val="left"/>
            </w:pPr>
            <w:r>
              <w:rPr>
                <w:rFonts w:ascii="Times New Roman" w:hAnsi="Times New Roman" w:cs="Times New Roman" w:eastAsia="Times New Roman"/>
                <w:b w:val="false"/>
                <w:sz w:val="26"/>
              </w:rPr>
              <w:t>29-10-2020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60, 77 Luật BHXH; Điều 1 Nghị quyết số 93/2015/QH13, Điều 8 Nghị định số 115/2015/NĐ-CP; Khoản 2 Điều 17 Thông tư liên tịch số 105/2016/TTLT-BQP-BCA- BLĐTBXH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2026-05-22T15:50:25Z</dcterms:created>
  <dc:creator>Apache POI</dc:creator>
</cp:coreProperties>
</file>