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1170/QĐ-UBND_ĐT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Trình thẩm định, phê duyệt Hồ sơ nhiệm vụ khảo sát xây dựng và nhiệm vụ thiết kế (Đối với các công trình do Sở GTVT làm chủ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nộp hồ sơ theo các hình thức sau: nộp trực tiếp tại Tổ tiếp nhận và trả kết quả Sở GTVT thành phố Đà Nẵng, nộp hồ sơ trực tuyến dịch vụ công tại địa chỉ https://dichvucong.danang.gov.vn (Sở Giao thông vận tải), nộp hồ sơ thông qua dịch vụ bưu chính công ích.
Bước 2: Tổ tiếp nhận và trả kết quả Sở GTVT thành phố Đà Nẵng tiếp nhận hồ sơ: kiểm tra tính hợp lệ và đầy đủ giấy tờ theo đúng thành phần, yêu cầu bổ sung, hoàn thiện nếu hồ sơ chưa đầy đủ hợp lệ. Trường hợp hồ sơ đã hợp lệ thì phát hành giấy hẹn ngày đến nhận kết quả. Chuyển hồ sơ cho Phòng chuyên môn qua mạng.
Bước 3: Phòng chuyên môn - Sở Giao thông vận tải tiến hành giải quyết hồ sơ, chuyển kết quả cho Tổ tiếp nhận và trả kết quả Sở GTVT thành phố Đà Nẵng.
Bước 4: Tổ tiếp nhận và trả kết quả Sở GTVT thành phố Đà Nẵng trả kết quả cho tổ chức,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trình thẩm định hoặc phê duyệt NV, PA KSXD và nhiệm vụ thiết kế (BM-KCHT-14 BM-KCHT-15 (đối vơi NV&amp;PAKS bổ sung))</w:t>
            </w:r>
          </w:p>
        </w:tc>
        <w:tc>
          <w:p/>
          <w:p>
            <w:pPr>
              <w:spacing w:after="0" w:before="0" w:lineRule="auto" w:line="276"/>
              <w:jc w:val="left"/>
            </w:pPr>
            <w:r>
              <w:rPr>
                <w:rFonts w:ascii="Times New Roman" w:hAnsi="Times New Roman" w:cs="Times New Roman" w:eastAsia="Times New Roman"/>
                <w:b w:val="false"/>
                <w:sz w:val="26"/>
              </w:rPr>
              <w:t>BM-KCHT-14.docx</w:t>
            </w:r>
          </w:p>
          <w:p>
            <w:pPr>
              <w:spacing w:after="0" w:before="0" w:lineRule="auto" w:line="276"/>
              <w:jc w:val="left"/>
            </w:pPr>
            <w:r>
              <w:rPr>
                <w:rFonts w:ascii="Times New Roman" w:hAnsi="Times New Roman" w:cs="Times New Roman" w:eastAsia="Times New Roman"/>
                <w:b w:val="false"/>
                <w:sz w:val="26"/>
              </w:rPr>
              <w:t>BM-KCHT-15.docx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văn bản pháp lý (do cơ quan có thẩm quyền cấp) (Bản chính hoặc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Văn bản chấp thuận đơn vị TVTK hoặc VB thể hiện thuê tổ chức, cá nhân lập nhiệm vụ khảo sát của chủ đầu tư hoặc người quyết định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Bản vẽ tổng mặt bằng quy hoạch (kèm văn bản phê duyệt cấp có thẩm quyền) hoặc sơ họa vị trí công trình (nếu không có phê duyệt tổng MB quy hoạch)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Văn bản chủ trương đầu tư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3	Hồ sơ Nhiệm vụ, phương án kỹ thuật KSXD và NVTK (Trong hồ sơ yêu cầu phải có sơ họa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Ghi chú: - Trường hợp trình thẩm định, phê duyệt hồ sơ điều chỉnh, bổ sung yêu cầu bổ sung thêm văn bản của cấp có thẩm quyền cho phép khảo sát,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Giao thông vận tải thành phố Đà Nẵng, Số 03 Lý Tự Trọng, P. Thạch Thang, Q. Hải Châu, TP.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nhiệm vụ khảo sát xây dựng, nhiệm vụ thiết kế nếu Sở Giao thông vận tải làm chủ đầu tư., Công văn phản hồi hoặc Biên bản làm việc về nội dung chưa phù hợp của hồ sơ nhiệm vụ khảo sát, thiết kế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15/2016/QĐ-UBND</w:t>
            </w:r>
          </w:p>
        </w:tc>
        <w:tc>
          <w:p/>
          <w:p>
            <w:pPr>
              <w:spacing w:after="0" w:before="0" w:lineRule="auto" w:line="276"/>
              <w:jc w:val="left"/>
            </w:pPr>
            <w:r>
              <w:rPr>
                <w:rFonts w:ascii="Times New Roman" w:hAnsi="Times New Roman" w:cs="Times New Roman" w:eastAsia="Times New Roman"/>
                <w:b w:val="false"/>
                <w:sz w:val="26"/>
              </w:rPr>
              <w:t>Ban hành Quy định một số nội dung về mua sắm, quản lý đầu tư và xây dựng trên địa bàn thành phố Đà Nẵng</w:t>
            </w:r>
          </w:p>
        </w:tc>
        <w:tc>
          <w:p/>
          <w:p>
            <w:pPr>
              <w:spacing w:after="0" w:before="0" w:lineRule="auto" w:line="276"/>
              <w:jc w:val="left"/>
            </w:pPr>
            <w:r>
              <w:rPr>
                <w:rFonts w:ascii="Times New Roman" w:hAnsi="Times New Roman" w:cs="Times New Roman" w:eastAsia="Times New Roman"/>
                <w:b w:val="false"/>
                <w:sz w:val="26"/>
              </w:rPr>
              <w:t>20-05-2016</w:t>
            </w:r>
          </w:p>
        </w:tc>
        <w:tc>
          <w:p/>
          <w:p>
            <w:pPr>
              <w:spacing w:after="0" w:before="0" w:lineRule="auto" w:line="276"/>
              <w:jc w:val="left"/>
            </w:pPr>
            <w:r>
              <w:rPr>
                <w:rFonts w:ascii="Times New Roman" w:hAnsi="Times New Roman" w:cs="Times New Roman" w:eastAsia="Times New Roman"/>
                <w:b w:val="false"/>
                <w:sz w:val="26"/>
              </w:rPr>
              <w:t>UBND Thành phố Đà Nẵng</w:t>
            </w:r>
          </w:p>
        </w:tc>
      </w:tr>
      <w:tr>
        <w:tc>
          <w:p/>
          <w:p>
            <w:pPr>
              <w:spacing w:after="0" w:before="0" w:lineRule="auto" w:line="276"/>
              <w:jc w:val="left"/>
            </w:pPr>
            <w:r>
              <w:rPr>
                <w:rFonts w:ascii="Times New Roman" w:hAnsi="Times New Roman" w:cs="Times New Roman" w:eastAsia="Times New Roman"/>
                <w:b w:val="false"/>
                <w:sz w:val="26"/>
              </w:rPr>
              <w:t>12/2020/QĐ-UBND</w:t>
            </w:r>
          </w:p>
        </w:tc>
        <w:tc>
          <w:p/>
          <w:p>
            <w:pPr>
              <w:spacing w:after="0" w:before="0" w:lineRule="auto" w:line="276"/>
              <w:jc w:val="left"/>
            </w:pPr>
            <w:r>
              <w:rPr>
                <w:rFonts w:ascii="Times New Roman" w:hAnsi="Times New Roman" w:cs="Times New Roman" w:eastAsia="Times New Roman"/>
                <w:b w:val="false"/>
                <w:sz w:val="26"/>
              </w:rPr>
              <w:t>Quy định nội dung về quản lý đầu tư và xây dựng trên địa bàn thành phố Đà Nẵng</w:t>
            </w:r>
          </w:p>
        </w:tc>
        <w:tc>
          <w:p/>
          <w:p>
            <w:pPr>
              <w:spacing w:after="0" w:before="0" w:lineRule="auto" w:line="276"/>
              <w:jc w:val="left"/>
            </w:pPr>
            <w:r>
              <w:rPr>
                <w:rFonts w:ascii="Times New Roman" w:hAnsi="Times New Roman" w:cs="Times New Roman" w:eastAsia="Times New Roman"/>
                <w:b w:val="false"/>
                <w:sz w:val="26"/>
              </w:rPr>
              <w:t>11-05-2020</w:t>
            </w:r>
          </w:p>
        </w:tc>
        <w:tc>
          <w:p/>
          <w:p>
            <w:pPr>
              <w:spacing w:after="0" w:before="0" w:lineRule="auto" w:line="276"/>
              <w:jc w:val="left"/>
            </w:pPr>
            <w:r>
              <w:rPr>
                <w:rFonts w:ascii="Times New Roman" w:hAnsi="Times New Roman" w:cs="Times New Roman" w:eastAsia="Times New Roman"/>
                <w:b w:val="false"/>
                <w:sz w:val="26"/>
              </w:rPr>
              <w:t>UBND Thành phố Đà Nẵng</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50/2014/QH13</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46/2015/NĐ-CP</w:t>
            </w:r>
          </w:p>
        </w:tc>
        <w:tc>
          <w:p/>
          <w:p>
            <w:pPr>
              <w:spacing w:after="0" w:before="0" w:lineRule="auto" w:line="276"/>
              <w:jc w:val="left"/>
            </w:pPr>
            <w:r>
              <w:rPr>
                <w:rFonts w:ascii="Times New Roman" w:hAnsi="Times New Roman" w:cs="Times New Roman" w:eastAsia="Times New Roman"/>
                <w:b w:val="false"/>
                <w:sz w:val="26"/>
              </w:rPr>
              <w:t>Nghị định 46/2015/NĐ-CP</w:t>
            </w:r>
          </w:p>
        </w:tc>
        <w:tc>
          <w:p/>
          <w:p>
            <w:pPr>
              <w:spacing w:after="0" w:before="0" w:lineRule="auto" w:line="276"/>
              <w:jc w:val="left"/>
            </w:pPr>
            <w:r>
              <w:rPr>
                <w:rFonts w:ascii="Times New Roman" w:hAnsi="Times New Roman" w:cs="Times New Roman" w:eastAsia="Times New Roman"/>
                <w:b w:val="false"/>
                <w:sz w:val="26"/>
              </w:rPr>
              <w:t>12-05-2015</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18-06-2015</w:t>
            </w:r>
          </w:p>
        </w:tc>
        <w:tc>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Nghị định 42/2017/NĐ-CP</w:t>
            </w:r>
          </w:p>
        </w:tc>
        <w:tc>
          <w:p/>
          <w:p>
            <w:pPr>
              <w:spacing w:after="0" w:before="0" w:lineRule="auto" w:line="276"/>
              <w:jc w:val="left"/>
            </w:pPr>
            <w:r>
              <w:rPr>
                <w:rFonts w:ascii="Times New Roman" w:hAnsi="Times New Roman" w:cs="Times New Roman" w:eastAsia="Times New Roman"/>
                <w:b w:val="false"/>
                <w:sz w:val="26"/>
              </w:rPr>
              <w:t>05-04-2017</w:t>
            </w:r>
          </w:p>
        </w:tc>
        <w:tc>
          <w:p/>
        </w:tc>
      </w:tr>
      <w:tr>
        <w:tc>
          <w:p/>
          <w:p>
            <w:pPr>
              <w:spacing w:after="0" w:before="0" w:lineRule="auto" w:line="276"/>
              <w:jc w:val="left"/>
            </w:pPr>
            <w:r>
              <w:rPr>
                <w:rFonts w:ascii="Times New Roman" w:hAnsi="Times New Roman" w:cs="Times New Roman" w:eastAsia="Times New Roman"/>
                <w:b w:val="false"/>
                <w:sz w:val="26"/>
              </w:rPr>
              <w:t>68/2019/NĐ-CP</w:t>
            </w:r>
          </w:p>
        </w:tc>
        <w:tc>
          <w:p/>
          <w:p>
            <w:pPr>
              <w:spacing w:after="0" w:before="0" w:lineRule="auto" w:line="276"/>
              <w:jc w:val="left"/>
            </w:pPr>
            <w:r>
              <w:rPr>
                <w:rFonts w:ascii="Times New Roman" w:hAnsi="Times New Roman" w:cs="Times New Roman" w:eastAsia="Times New Roman"/>
                <w:b w:val="false"/>
                <w:sz w:val="26"/>
              </w:rPr>
              <w:t>Nghị định 68/2019/NĐ-CP</w:t>
            </w:r>
          </w:p>
        </w:tc>
        <w:tc>
          <w:p/>
          <w:p>
            <w:pPr>
              <w:spacing w:after="0" w:before="0" w:lineRule="auto" w:line="276"/>
              <w:jc w:val="left"/>
            </w:pPr>
            <w:r>
              <w:rPr>
                <w:rFonts w:ascii="Times New Roman" w:hAnsi="Times New Roman" w:cs="Times New Roman" w:eastAsia="Times New Roman"/>
                <w:b w:val="false"/>
                <w:sz w:val="26"/>
              </w:rPr>
              <w:t>14-08-2019</w:t>
            </w:r>
          </w:p>
        </w:tc>
        <w:tc>
          <w:p/>
        </w:tc>
      </w:tr>
      <w:tr>
        <w:tc>
          <w:p/>
          <w:p>
            <w:pPr>
              <w:spacing w:after="0" w:before="0" w:lineRule="auto" w:line="276"/>
              <w:jc w:val="left"/>
            </w:pPr>
            <w:r>
              <w:rPr>
                <w:rFonts w:ascii="Times New Roman" w:hAnsi="Times New Roman" w:cs="Times New Roman" w:eastAsia="Times New Roman"/>
                <w:b w:val="false"/>
                <w:sz w:val="26"/>
              </w:rPr>
              <w:t>02/2018/QĐ-UBND</w:t>
            </w:r>
          </w:p>
        </w:tc>
        <w:tc>
          <w:p/>
          <w:p>
            <w:pPr>
              <w:spacing w:after="0" w:before="0" w:lineRule="auto" w:line="276"/>
              <w:jc w:val="left"/>
            </w:pPr>
            <w:r>
              <w:rPr>
                <w:rFonts w:ascii="Times New Roman" w:hAnsi="Times New Roman" w:cs="Times New Roman" w:eastAsia="Times New Roman"/>
                <w:b w:val="false"/>
                <w:sz w:val="26"/>
              </w:rPr>
              <w:t>Ban hành Quy định về phân công, phân cấp, uỷ quyền trách nhiệm quản lý nhà nước về chất lượng công trình xây dựng trên địa bàn thành phố Đà Nẵng</w:t>
            </w:r>
          </w:p>
        </w:tc>
        <w:tc>
          <w:p/>
          <w:p>
            <w:pPr>
              <w:spacing w:after="0" w:before="0" w:lineRule="auto" w:line="276"/>
              <w:jc w:val="left"/>
            </w:pPr>
            <w:r>
              <w:rPr>
                <w:rFonts w:ascii="Times New Roman" w:hAnsi="Times New Roman" w:cs="Times New Roman" w:eastAsia="Times New Roman"/>
                <w:b w:val="false"/>
                <w:sz w:val="26"/>
              </w:rPr>
              <w:t>23-01-2018</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công trình do Sở Giao thông vận tải làm chủ đầu tư.
2. Tờ trình phải được lập theo mẫu quy định.
3. Hồ sơ phải có bì đựng, phía ngoài ghi rõ tên công trình, hạng mục, phải có danh mục hồ sơ.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2026-05-12T15:43:04Z</dcterms:created>
  <dc:creator>Apache POI</dc:creator>
</cp:coreProperties>
</file>