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thành viên hợp danh của công ty hợp danh hoặc thay đổi chủ doanh nghiệp tư nhân của doanh nghiệp quản lý, thanh lý tài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tài viên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Khi thay đổi thành viên hợp danh của công ty hợp danh quản lý, thanh lý tài sản hoặc thay đổi chủ doanh nghiệp tư nhân quản lý, thanh lý tài sản thì chậm nhất là 07 ngày làm việc sau khi thực hiện việc thay đổi, công ty hợp danh, doanh nghiệp tư nhân phải đăng ký hành nghề quản lý, thanh lý tài sản cho thành viên hợp danh mới hoặc chủ doanh nghiệp tư nhân mới. 
Khi thay đổi thành viên hợp danh của công ty hợp danh quản lý, thanh lý tài sản hoặc thay đổi chủ doanh nghiệp tư nhân quản lý, thanh lý tài sản thì doanh nghiệp đăng ký hành nghề quản lý, thanh lý tài sản lập 01 bộ hồ sơ nộp trực tiếp hoặc qua dịch vụ bưu chính đến Sở Tư pháp nơi doanh nghiệp đặt trụ sở hoặc trực tuyến trên môi trường điện tử theo quy định tại Điều 4 của Nghị định số 65/2026/NĐ-CP. 
Trong thời hạn 05 ngày làm việc kể từ ngày nhận đủ hồ sơ hợp lệ, Sở Tư pháp xem xét, ghi thông tin thay đổi vào danh sách Quản tài viên, doanh nghiệp hành nghề quản lý, thanh lý tài sản tại địa phương, thông báo bằng văn bản cho doanh nghiệp đó; trường hợp từ chối phải trả lời bằng văn bản có nêu rõ lý do. 
Trong thời hạn quy định tại khoản này, nếu thấy hồ sơ đề nghị chưa đầy đủ, chưa thống nhất hoặc cần xác minh liên quan đến thành viên hợp danh, Tổng giám đốc hoặc Giám đốc của công ty hợp danh, những người khác hành nghề quản lý, thanh lý tài sản trong công ty hợp danh (nếu có); chủ doanh nghiệp tư nhân, những người khác hành nghề quản lý, thanh lý tài sản trong doanh nghiệp tư nhân (nếu có), Sở Tư pháp yêu cầu doanh nghiệp nộp hồ sơ giải trình, bổ sung thông tin hoặc phối hợp với các cơ quan, tổ chức có liên quan xác minh thông tin. Thời hạn quy định tại khoản này được tính từ ngày Sở Tư pháp nhận được kết quả bổ sung, làm rõ hoặc xác minh thông tin.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Giấy đề nghị đăng ký hành nghề quản lý, thanh lý tài sản theo Mẫu TP- QTV-07</w:t>
            </w:r>
          </w:p>
        </w:tc>
        <w:tc>
          <w:p/>
          <w:p>
            <w:pPr>
              <w:spacing w:after="0" w:before="0" w:lineRule="auto" w:line="276"/>
              <w:jc w:val="left"/>
            </w:pPr>
            <w:r>
              <w:rPr>
                <w:rFonts w:ascii="Times New Roman" w:hAnsi="Times New Roman" w:cs="Times New Roman" w:eastAsia="Times New Roman"/>
                <w:b w:val="false"/>
                <w:sz w:val="26"/>
              </w:rPr>
              <w:t>07_Giynghkhnhnghdoanhnghip.docx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kèm bản chính để đối chiếu hoặc bản sao có chứng thực hoặc bản chính điện tử hoặc bản sao điện tử từ sổ gốc hoặc bản sao điện tử có chứng thực từ bản chính chứng chỉ hành nghề Quản tài viên của các Quản tài viên đăng ký hành nghề tại doanh nghiệp;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Giấy chứng nhận đăng ký doanh nghiệp (Doanh nghiệp chỉ phải nộp giấy chứng nhận này trong trường hợp Sở Tư pháp không khai thác được thông tin về Giấy chứng nhận đăng ký doanh nghiệp trên Cơ sở dữ liệu quốc gia về đăng ký doanh nghiệp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Ghi tên doanh nghiệp vào danh sách Quản tài viên, doanh nghiệp hành nghề quản lý, thanh lý tài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142/2025/QH15</w:t>
            </w:r>
          </w:p>
        </w:tc>
        <w:tc>
          <w:p/>
          <w:p>
            <w:pPr>
              <w:spacing w:after="0" w:before="0" w:lineRule="auto" w:line="276"/>
              <w:jc w:val="left"/>
            </w:pPr>
            <w:r>
              <w:rPr>
                <w:rFonts w:ascii="Times New Roman" w:hAnsi="Times New Roman" w:cs="Times New Roman" w:eastAsia="Times New Roman"/>
                <w:b w:val="false"/>
                <w:sz w:val="26"/>
              </w:rPr>
              <w:t>Luật Phục hồi, phá sản năm 2025</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65/2026/NĐ-CP</w:t>
            </w:r>
          </w:p>
        </w:tc>
        <w:tc>
          <w:p/>
          <w:p>
            <w:pPr>
              <w:spacing w:after="0" w:before="0" w:lineRule="auto" w:line="276"/>
              <w:jc w:val="left"/>
            </w:pPr>
            <w:r>
              <w:rPr>
                <w:rFonts w:ascii="Times New Roman" w:hAnsi="Times New Roman" w:cs="Times New Roman" w:eastAsia="Times New Roman"/>
                <w:b w:val="false"/>
                <w:sz w:val="26"/>
              </w:rPr>
              <w:t>Nghị định số 65/2026/NĐ-CP quy định chi tiết một số điều và biện pháp thi hành Luật Phục hồi, phá sản về Quản tài viên và hành nghề quản lý, thanh lý tài sản.</w:t>
            </w:r>
          </w:p>
        </w:tc>
        <w:tc>
          <w:p/>
          <w:p>
            <w:pPr>
              <w:spacing w:after="0" w:before="0" w:lineRule="auto" w:line="276"/>
              <w:jc w:val="left"/>
            </w:pPr>
            <w:r>
              <w:rPr>
                <w:rFonts w:ascii="Times New Roman" w:hAnsi="Times New Roman" w:cs="Times New Roman" w:eastAsia="Times New Roman"/>
                <w:b w:val="false"/>
                <w:sz w:val="26"/>
              </w:rPr>
              <w:t>28-02-2026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2026-05-27T18:45:27Z</dcterms:created>
  <dc:creator>Apache POI</dc:creator>
</cp:coreProperties>
</file>