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1.008628.000.00.00.H56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477/QĐ-Vp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hành nghề luật sư trong trường hợp bị mất, bị rách, bị cháy hoặc vì lý do khác không cố 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trường hợp Chứng chỉ hành nghề luật sư bị mất, bị rách, bị cháy hoặc vì lý do khách quan mà thông tin trên Chứng chỉ hành nghề luật sư bị thay đổi thì được cấp lại Chứng chỉ hành nghề luật sư.
Trong thời hạn 05 ngày làm việc kể từ ngày nhận đủ hồ sơ hợp lệ, Sở Tư pháp có trách nhiệm kiểm tra hồ sơ, trong trường hợp cần thiết thì tiến hành xác minh tính hợp pháp của hồ sơ và có văn bản đề nghị kèm theo hồ sơ cấp Chứng chỉ hành nghề luật sư trình Chủ tịch Ủy ban nhân dân cấp tỉnh.
Khi giải quyết hồ sơ đề nghị cấp Chứng chỉ hành nghề luật sư, Sở Tư pháp yêu cầu cơ quan quản lý cơ sở dữ liệu lý lịch tư pháp cung cấp thông tin lý lịch tư pháp đối với người đề nghị cấp chứng chỉ hành nghề luật sư.
Cơ quan quản lý cơ sở dữ liệu lý lịch tư pháp có trách nhiệm cung cấp thông tin cho cơ quan yêu cầu trong thời hạn 03 ngày làm việc kể từ ngày nhận được yêu cầu. Thời gian phối hợp cung cấp thông tin lý lịch tư pháp không tính vào thời gian giải quyết thủ tục hành chính.
Trong thời hạn 10 ngày làm việc kể từ ngày nhận đủ hồ sơ hợp lệ của Sở Tư pháp, Chủ tịch Ủy ban nhân dân cấp tỉnh quyết định cấp Chứng chỉ hành nghề luật sư; trường hợp từ chối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800.000 Đồng</w:t>
              <w:t xml:space="preserve"> (/1 hồ sơ)</w:t>
            </w:r>
          </w:p>
          <w:p>
            <w:pPr>
              <w:spacing w:after="0" w:before="0" w:lineRule="auto" w:line="276"/>
              <w:jc w:val="left"/>
            </w:pPr>
            <w:r>
              <w:rPr>
                <w:rFonts w:ascii="Times New Roman" w:hAnsi="Times New Roman" w:cs="Times New Roman" w:eastAsia="Times New Roman"/>
                <w:b w:val="false"/>
                <w:sz w:val="26"/>
              </w:rPr>
              <w:t>Lệ phí : 100.000 Đồng</w:t>
              <w:t xml:space="preserve"> (/1 hồ sơ)</w:t>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hợp lệ, Sở Tư pháp có trách nhiệm kiểm tra hồ sơ, trong trường hợp cần thiết thì tiến hành xác minh tính hợp pháp của hồ sơ và có văn bản đề nghị kèm theo hồ sơ cấp Chứng chỉ hành nghề luật sư trình Chủ tịch Ủy ban nhân dân cấp tỉnh.
- Khi giải quyết hồ sơ đề nghị cấp Chứng chỉ hành nghề luật sư, Sở Tư pháp yêu cầu cơ quan quản lý cơ sở dữ liệu lý lịch tư pháp cung cấp thông tin lý lịch tư pháp đối với người đề nghị cấp chứng chỉ hành nghề luật sư.
- Cơ quan quản lý cơ sở dữ liệu lý lịch tư pháp có trách nhiệm cung cấp thông tin cho cơ quan yêu cầu trong thời hạn 03 ngày làm việc kể từ ngày nhận được yêu cầu. Thời gian phối hợp cung cấp thông tin lý lịch tư pháp không tính vào thời gian giải quyết thủ tục hành chính.
- Trong thời hạn 10 ngày làm việc kể từ ngày nhận đủ hồ sơ hợp lệ của Sở Tư pháp, Chủ tịch Ủy ban nhân dân cấp tỉnh quyết định cấp Chứng chỉ hành nghề luật sư; trường hợp từ chối phải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800.000 Đồng</w:t>
            </w:r>
          </w:p>
          <w:p>
            <w:pPr>
              <w:spacing w:after="0" w:before="0" w:lineRule="auto" w:line="276"/>
              <w:jc w:val="left"/>
            </w:pPr>
            <w:r>
              <w:rPr>
                <w:rFonts w:ascii="Times New Roman" w:hAnsi="Times New Roman" w:cs="Times New Roman" w:eastAsia="Times New Roman"/>
                <w:b w:val="false"/>
                <w:sz w:val="26"/>
              </w:rPr>
              <w:t>Lệ phí : 100.000 Đồng</w:t>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hợp lệ, Sở Tư pháp có trách nhiệm kiểm tra hồ sơ, trong trường hợp cần thiết thì tiến hành xác minh tính hợp pháp của hồ sơ và có văn bản đề nghị kèm theo hồ sơ cấp Chứng chỉ hành nghề luật sư trình Chủ tịch Ủy ban nhân dân cấp tỉnh.
- Khi giải quyết hồ sơ đề nghị cấp Chứng chỉ hành nghề luật sư, Sở Tư pháp yêu cầu cơ quan quản lý cơ sở dữ liệu lý lịch tư pháp cung cấp thông tin lý lịch tư pháp đối với người đề nghị cấp chứng chỉ hành nghề luật sư.
- Cơ quan quản lý cơ sở dữ liệu lý lịch tư pháp có trách nhiệm cung cấp thông tin cho cơ quan yêu cầu trong thời hạn 03 ngày làm việc kể từ ngày nhận được yêu cầu. Thời gian phối hợp cung cấp thông tin lý lịch tư pháp không tính vào thời gian giải quyết thủ tục hành chính.
- Trong thời hạn 10 ngày làm việc kể từ ngày nhận đủ hồ sơ hợp lệ của Sở Tư pháp, Chủ tịch Ủy ban nhân dân cấp tỉnh quyết định cấp Chứng chỉ hành nghề luật sư; trường hợp từ chối phải thông báo bằng văn bản và nêu rõ lý do.
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80000 Đồng</w:t>
              <w:t xml:space="preserve"> (/1 hồ sơ)</w:t>
            </w:r>
          </w:p>
          <w:p>
            <w:pPr>
              <w:spacing w:after="0" w:before="0" w:lineRule="auto" w:line="276"/>
              <w:jc w:val="left"/>
            </w:pPr>
            <w:r>
              <w:rPr>
                <w:rFonts w:ascii="Times New Roman" w:hAnsi="Times New Roman" w:cs="Times New Roman" w:eastAsia="Times New Roman"/>
                <w:b w:val="false"/>
                <w:sz w:val="26"/>
              </w:rPr>
              <w:t>Lệ phí : 100000 Đồng</w:t>
              <w:t xml:space="preserve"> (/1 hồ sơ)</w:t>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hợp lệ, Sở Tư pháp có trách nhiệm kiểm tra hồ sơ, trong trường hợp cần thiết thì tiến hành xác minh tính hợp pháp của hồ sơ và có văn bản đề nghị kèm theo hồ sơ cấp Chứng chỉ hành nghề luật sư trình Chủ tịch Ủy ban nhân dân cấp tỉnh.
- Khi giải quyết hồ sơ đề nghị cấp Chứng chỉ hành nghề luật sư, Sở Tư pháp yêu cầu cơ quan quản lý cơ sở dữ liệu lý lịch tư pháp cung cấp thông tin lý lịch tư pháp đối với người đề nghị cấp chứng chỉ hành nghề luật sư.
- Cơ quan quản lý cơ sở dữ liệu lý lịch tư pháp có trách nhiệm cung cấp thông tin cho cơ quan yêu cầu trong thời hạn 03 ngày làm việc kể từ ngày nhận được yêu cầu. Thời gian phối hợp cung cấp thông tin lý lịch tư pháp không tính vào thời gian giải quyết thủ tục hành chính.
- Trong thời hạn 10 ngày làm việc kể từ ngày nhận đủ hồ sơ hợp lệ của Sở Tư pháp, Chủ tịch Ủy ban nhân dân cấp tỉnh quyết định cấp Chứng chỉ hành nghề luật sư; trường hợp từ chối phải thông báo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Bằng cử nhân luật hoặc bản sao Bằng thạc sỹ luật trừ những người là giáo sư, phó giáo sư chuyên ngành luật, tiến sỹ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kiểm tra kết quả tập sự hành nghề luật sư đối với người đạt yêu cầu kiểm tra hoặc bản sao giấy tờ chứng minh là người được miễn tập sự hành nghề luật sư quy định tại khoản 1 Điều 16 của Luật Luật sư đối với trường hợp miễn tập sự hành nghề luật sư bao gồm một trong các giấy tờ sau đây: + Bản sao Quyết định bổ nhiệm thẩm phán, kiểm sát viên, điều tra viên hoặc Nghị quyết của Hội đồng nhân dân, Biên bản bầu thẩm phán của Hội đồng nhân dân đối với trường hợp thẩm phán do Hội đồng nhân dân cấp huyện, cấp tỉnh bầu. + Bản sao Quyết định phong hàm Giáo sư, Phó Giáo sư chuyên ngành luật sư hoặc bản sao bằng tiến sỹ luật. + Bản sao Quyết định bổ nhiệm thẩm tra viên cao cấp ngành Tòa án, kiểm tra viên cao cấp ngành Kiểm sát, chuyên viên cao cấp, nghiên cứu viên cao cấp, giảng viên cao cấp chuyên ngành luật. + Các giấy tờ hợp pháp khác chứng minh là người được miễn tập sự hành nghề luật sư.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VB đề nghị cấp lại Chứng chỉ hành nghề luật sư</w:t>
            </w:r>
          </w:p>
        </w:tc>
        <w:tc>
          <w:p/>
          <w:p>
            <w:pPr>
              <w:spacing w:after="0" w:before="0" w:lineRule="auto" w:line="276"/>
              <w:jc w:val="left"/>
            </w:pPr>
            <w:r>
              <w:rPr>
                <w:rFonts w:ascii="Times New Roman" w:hAnsi="Times New Roman" w:cs="Times New Roman" w:eastAsia="Times New Roman"/>
                <w:b w:val="false"/>
                <w:sz w:val="26"/>
              </w:rPr>
              <w:t>Mauso01-PLIII-LS.docx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Tại Bộ phận tiếp nhận và trả kết quả của Sở Tư pháp tại Trung tâm Phục vụ hành chính công tỉnh Thanh Hóa (số 28 Đại lộ Lê Lợi, phường Hạc Thành, tỉnh Thanh Hóa) - Địa chỉ trực tuyến: https://dichvucong.gov.vn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luật sư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17/2011/TT-BTP</w:t>
            </w:r>
          </w:p>
        </w:tc>
        <w:tc>
          <w:p/>
          <w:p>
            <w:pPr>
              <w:spacing w:after="0" w:before="0" w:lineRule="auto" w:line="276"/>
              <w:jc w:val="left"/>
            </w:pPr>
            <w:r>
              <w:rPr>
                <w:rFonts w:ascii="Times New Roman" w:hAnsi="Times New Roman" w:cs="Times New Roman" w:eastAsia="Times New Roman"/>
                <w:b w:val="false"/>
                <w:sz w:val="26"/>
              </w:rPr>
              <w:t>Thông tư 17/2011/TT-BTP</w:t>
            </w:r>
          </w:p>
        </w:tc>
        <w:tc>
          <w:p/>
          <w:p>
            <w:pPr>
              <w:spacing w:after="0" w:before="0" w:lineRule="auto" w:line="276"/>
              <w:jc w:val="left"/>
            </w:pPr>
            <w:r>
              <w:rPr>
                <w:rFonts w:ascii="Times New Roman" w:hAnsi="Times New Roman" w:cs="Times New Roman" w:eastAsia="Times New Roman"/>
                <w:b w:val="false"/>
                <w:sz w:val="26"/>
              </w:rPr>
              <w:t>14-10-2011</w:t>
            </w:r>
          </w:p>
        </w:tc>
        <w:tc>
          <w:p/>
        </w:tc>
      </w:tr>
      <w:tr>
        <w:tc>
          <w:p/>
          <w:p>
            <w:pPr>
              <w:spacing w:after="0" w:before="0" w:lineRule="auto" w:line="276"/>
              <w:jc w:val="left"/>
            </w:pPr>
            <w:r>
              <w:rPr>
                <w:rFonts w:ascii="Times New Roman" w:hAnsi="Times New Roman" w:cs="Times New Roman" w:eastAsia="Times New Roman"/>
                <w:b w:val="false"/>
                <w:sz w:val="26"/>
              </w:rPr>
              <w:t>65/2006/QH11</w:t>
            </w:r>
          </w:p>
        </w:tc>
        <w:tc>
          <w:p/>
          <w:p>
            <w:pPr>
              <w:spacing w:after="0" w:before="0" w:lineRule="auto" w:line="276"/>
              <w:jc w:val="left"/>
            </w:pPr>
            <w:r>
              <w:rPr>
                <w:rFonts w:ascii="Times New Roman" w:hAnsi="Times New Roman" w:cs="Times New Roman" w:eastAsia="Times New Roman"/>
                <w:b w:val="false"/>
                <w:sz w:val="26"/>
              </w:rPr>
              <w:t>Nghị quyết 65/2006/QH11</w:t>
            </w:r>
          </w:p>
        </w:tc>
        <w:tc>
          <w:p/>
          <w:p>
            <w:pPr>
              <w:spacing w:after="0" w:before="0" w:lineRule="auto" w:line="276"/>
              <w:jc w:val="left"/>
            </w:pPr>
            <w:r>
              <w:rPr>
                <w:rFonts w:ascii="Times New Roman" w:hAnsi="Times New Roman" w:cs="Times New Roman" w:eastAsia="Times New Roman"/>
                <w:b w:val="false"/>
                <w:sz w:val="26"/>
              </w:rPr>
              <w:t>29-06-2006</w:t>
            </w:r>
          </w:p>
        </w:tc>
        <w:tc>
          <w:p/>
        </w:tc>
      </w:tr>
      <w:tr>
        <w:tc>
          <w:p/>
          <w:p>
            <w:pPr>
              <w:spacing w:after="0" w:before="0" w:lineRule="auto" w:line="276"/>
              <w:jc w:val="left"/>
            </w:pPr>
            <w:r>
              <w:rPr>
                <w:rFonts w:ascii="Times New Roman" w:hAnsi="Times New Roman" w:cs="Times New Roman" w:eastAsia="Times New Roman"/>
                <w:b w:val="false"/>
                <w:sz w:val="26"/>
              </w:rPr>
              <w:t>220/2016/TT-BTC</w:t>
            </w:r>
          </w:p>
        </w:tc>
        <w:tc>
          <w:p/>
          <w:p>
            <w:pPr>
              <w:spacing w:after="0" w:before="0" w:lineRule="auto" w:line="276"/>
              <w:jc w:val="left"/>
            </w:pPr>
            <w:r>
              <w:rPr>
                <w:rFonts w:ascii="Times New Roman" w:hAnsi="Times New Roman" w:cs="Times New Roman" w:eastAsia="Times New Roman"/>
                <w:b w:val="false"/>
                <w:sz w:val="26"/>
              </w:rPr>
              <w:t>Thông tư 220/2016/TT-BTC</w:t>
            </w:r>
          </w:p>
        </w:tc>
        <w:tc>
          <w:p/>
          <w:p>
            <w:pPr>
              <w:spacing w:after="0" w:before="0" w:lineRule="auto" w:line="276"/>
              <w:jc w:val="left"/>
            </w:pPr>
            <w:r>
              <w:rPr>
                <w:rFonts w:ascii="Times New Roman" w:hAnsi="Times New Roman" w:cs="Times New Roman" w:eastAsia="Times New Roman"/>
                <w:b w:val="false"/>
                <w:sz w:val="26"/>
              </w:rPr>
              <w:t>10-11-2016</w:t>
            </w:r>
          </w:p>
        </w:tc>
        <w:tc>
          <w:p/>
        </w:tc>
      </w:tr>
      <w:tr>
        <w:tc>
          <w:p/>
          <w:p>
            <w:pPr>
              <w:spacing w:after="0" w:before="0" w:lineRule="auto" w:line="276"/>
              <w:jc w:val="left"/>
            </w:pPr>
            <w:r>
              <w:rPr>
                <w:rFonts w:ascii="Times New Roman" w:hAnsi="Times New Roman" w:cs="Times New Roman" w:eastAsia="Times New Roman"/>
                <w:b w:val="false"/>
                <w:sz w:val="26"/>
              </w:rPr>
              <w:t>05/2021/TT-BTP</w:t>
            </w:r>
          </w:p>
        </w:tc>
        <w:tc>
          <w:p/>
          <w:p>
            <w:pPr>
              <w:spacing w:after="0" w:before="0" w:lineRule="auto" w:line="276"/>
              <w:jc w:val="left"/>
            </w:pPr>
            <w:r>
              <w:rPr>
                <w:rFonts w:ascii="Times New Roman" w:hAnsi="Times New Roman" w:cs="Times New Roman" w:eastAsia="Times New Roman"/>
                <w:b w:val="false"/>
                <w:sz w:val="26"/>
              </w:rPr>
              <w:t>Thông tư 05/2021/TT-BTP</w:t>
            </w:r>
          </w:p>
        </w:tc>
        <w:tc>
          <w:p/>
          <w:p>
            <w:pPr>
              <w:spacing w:after="0" w:before="0" w:lineRule="auto" w:line="276"/>
              <w:jc w:val="left"/>
            </w:pPr>
            <w:r>
              <w:rPr>
                <w:rFonts w:ascii="Times New Roman" w:hAnsi="Times New Roman" w:cs="Times New Roman" w:eastAsia="Times New Roman"/>
                <w:b w:val="false"/>
                <w:sz w:val="26"/>
              </w:rPr>
              <w:t>24-06-2021</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thuộc một trong những trường hợp sau đây thì không được cấp lại Chứng chỉ hành nghề luật sư:
- Không đủ tiêu chuẩn luật sư quy định tại Điều 10 của Luật Luật sư;
- Đang là cán bộ, công chức, viên chức; sĩ quan, quân nhân chuyên nghiệp, công nhân quốc phòng trong cơ quan, đơn vị thuộc Quân đội nhân dân; sĩ quan, hạ sĩ quan, công nhân trong cơ quan, đơn vị thuộc Công an nhân dân;
- Không thường trú tại Việt Nam;
- Đang bị truy cứu trách nhiệm hình sự; đã bị kết án mà chưa được xoá án tích về tội phạm do vô ý hoặc tội phạm ít nghiêm trọng do cố ý; đã bị kết án về tội phạm nghiêm trọng do cố ý, tội phạm rất nghiêm trọng do cố ý, tội phạm đặc biệt nghiêm trọng do cố ý kể cả trường hợp đã được xóa án tích;
- Đang bị áp dụng biện pháp xử lý hành chính đưa vào cơ sở cai nghiện bắt buộc, cơ sở giáo dục bắt buộc;
- Mất năng lực hành vi dân sự hoặc bị hạn chế năng lực hành vi dân sự;
- Những người đang là cán bộ, công chức, viên chức, sĩ quan, quân nhân chuyên nghiệp, công nhân quốc phòng trong cơ quan, đơn vị thuộc Quân đội nhân dân; sĩ quan, hạ sĩ quan, công nhân trong cơ quan, đơn vị thuộc Công an nhân dân bị buộc thôi việc mà chưa hết thời hạn ba năm, kể từ ngày quyết định buộc thôi việc có hiệu lực.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2026-05-24T07:32:51Z</dcterms:created>
  <dc:creator>Apache POI</dc:creator>
</cp:coreProperties>
</file>