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1.008624.000.00.00.H56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477/QĐ-Vp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luật sư trong trường hợp bị thu hồi Chứng chỉ hành nghề luật sư theo quy định tại Điều 18 của Luật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đã bị thu hồi Chứng chỉ hành nghề luật sư quy định tại các điểm a, b, c, e và k khoản 1 Điều 18 của Luật Luật sư được xem xét cấp lại Chứng chỉ hành nghề luật sư khi đáp ứng đủ các tiêu chuẩn quy định tại Luật Luật sư và lý do bị thu hồi Chứng chỉ không còn.
2. Người đã bị thu hồi Chứng chỉ hành nghề luật sư quy định tại điểm d và điểm đ khoản 1 Điều 18 của Luật Luật sư thì được xem xét cấp lại Chứng chỉ hành nghề luật sư khi có đề nghị cấp lại Chứng chỉ hành nghề luật sư.
3. Người đã bị thu hồi Chứng chỉ hành nghề luật sư quy định tại các điểm g, h và i khoản 1 Điều 18 của Luật Luật sư được xem xét cấp lại Chứng chỉ hành nghề luật sư khi có đủ tiêu chuẩn tại Điều 10 của Luật Luật sư và thuộc một trong các điều kiện sau đây:
a) Sau thời hạn 03 năm kể từ ngày có quyết định thu hồi Chứng chỉ hành nghề luật sư do bị xử lý kỷ luật bằng hình thức xóa tên khỏi danh sách luật sư của Đoàn luật sư;
b) Thời hạn tước quyền sử dụng Chứng chỉ hành nghề luật sư đã hết hoặc đã chấp hành xong quyết định áp dụng biện pháp xử lý hành chính đưa vào cơ sở cai nghiện bắt buộc, cơ sở giáo dục bắt buộc;
c) Đã được xóa án tích, trừ trường hợp quy định tại khoản 4 Điều 19 của Luật Luật sư.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cấp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cấp tỉnh quyết định cấp lại Chứng chỉ hành nghề luật sư;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(/1 hồ sơ)</w:t>
            </w:r>
          </w:p>
          <w:p>
            <w:pPr>
              <w:spacing w:after="0" w:before="0" w:lineRule="auto" w:line="276"/>
              <w:jc w:val="left"/>
            </w:pPr>
            <w:r>
              <w:rPr>
                <w:rFonts w:ascii="Times New Roman" w:hAnsi="Times New Roman" w:cs="Times New Roman" w:eastAsia="Times New Roman"/>
                <w:b w:val="false"/>
                <w:sz w:val="26"/>
              </w:rPr>
              <w:t>Lệ phí : 100.000 Đồng</w:t>
              <w:t xml:space="preserve"> (/1 hồ sơ)</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cấp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cấp tỉnh quyết định cấp lại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cấp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cấp tỉnh quyết định cấp lại Chứng chỉ hành nghề luật sư; trường hợp từ chối phải thông báo bằng văn bản và nêu rõ lý do.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(/1 hồ sơ)</w:t>
            </w:r>
          </w:p>
          <w:p>
            <w:pPr>
              <w:spacing w:after="0" w:before="0" w:lineRule="auto" w:line="276"/>
              <w:jc w:val="left"/>
            </w:pPr>
            <w:r>
              <w:rPr>
                <w:rFonts w:ascii="Times New Roman" w:hAnsi="Times New Roman" w:cs="Times New Roman" w:eastAsia="Times New Roman"/>
                <w:b w:val="false"/>
                <w:sz w:val="26"/>
              </w:rPr>
              <w:t>Lệ phí : 100.000 Đồng</w:t>
              <w:t xml:space="preserve"> (/1 hồ sơ)</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cấp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cấp tỉnh quyết định cấp lại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Bằng cử nhân luật hoặc bản sao Bằng thạc sỹ luật trừ những người là giáo sư, phó giáo sư chuyên ngành luật, tiến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kiểm tra kết quả tập sự hành nghề luật sư đối với người đạt yêu cầu kiểm tra hoặc bản sao giấy tờ chứng minh là người được miễn tập sự hành nghề luật sư quy định tại khoản 1 Điều 16 của Luật Luật sư đối với trường hợp miễn tập sự hành nghề luật sư bao gồm một trong các giấy tờ sau đây: + Bản sao Quyết định bổ nhiệm thẩm phán, kiểm sát viên, điều tra viên hoặc Nghị quyết của Hội đồng nhân dân, Biên bản bầu thẩm phán của Hội đồng nhân dân đối với trường hợp thẩm phán do Hội đồng nhân dân cấp huyện, cấp tỉnh bầu. + Bản sao Quyết định phong hàm Giáo sư, Phó Giáo sư chuyên ngành luật sư hoặc bản sao bằng tiến sỹ luật. + Bản sao Quyết định bổ nhiệm thẩm tra viên cao cấp ngành Tòa án, kiểm tra viên cao cấp ngành Kiểm sát, chuyên viên cao cấp, nghiên cứu viên cao cấp, giảng viên cao cấp chuyên ngành luật. + Các giấy tờ hợp pháp khác chứng minh là người được miễn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cấp lại Chứng chỉ hành nghề luật sư</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lý do bị thu hồi Chứng chỉ hành nghề luật sư không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Bộ phận tiếp nhận và trả kết quả của Sở Tư pháp tại Trung tâm Phục vụ hành chính công tỉnh Thanh Hóa(số 28 Đại lộ Lê Lợi, phường Hạc Thành, tỉnh Thanh Hóa)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20/2012/QH13</w:t>
            </w:r>
          </w:p>
        </w:tc>
        <w:tc>
          <w:p/>
          <w:p>
            <w:pPr>
              <w:spacing w:after="0" w:before="0" w:lineRule="auto" w:line="276"/>
              <w:jc w:val="left"/>
            </w:pPr>
            <w:r>
              <w:rPr>
                <w:rFonts w:ascii="Times New Roman" w:hAnsi="Times New Roman" w:cs="Times New Roman" w:eastAsia="Times New Roman"/>
                <w:b w:val="false"/>
                <w:sz w:val="26"/>
              </w:rPr>
              <w:t>Luật 20/2012/QH13</w:t>
            </w:r>
          </w:p>
        </w:tc>
        <w:tc>
          <w:p/>
          <w:p>
            <w:pPr>
              <w:spacing w:after="0" w:before="0" w:lineRule="auto" w:line="276"/>
              <w:jc w:val="left"/>
            </w:pPr>
            <w:r>
              <w:rPr>
                <w:rFonts w:ascii="Times New Roman" w:hAnsi="Times New Roman" w:cs="Times New Roman" w:eastAsia="Times New Roman"/>
                <w:b w:val="false"/>
                <w:sz w:val="26"/>
              </w:rPr>
              <w:t>20-11-2012</w:t>
            </w:r>
          </w:p>
        </w:tc>
        <w:tc>
          <w:p/>
        </w:tc>
      </w:tr>
      <w:tr>
        <w:tc>
          <w:p/>
          <w:p>
            <w:pPr>
              <w:spacing w:after="0" w:before="0" w:lineRule="auto" w:line="276"/>
              <w:jc w:val="left"/>
            </w:pPr>
            <w:r>
              <w:rPr>
                <w:rFonts w:ascii="Times New Roman" w:hAnsi="Times New Roman" w:cs="Times New Roman" w:eastAsia="Times New Roman"/>
                <w:b w:val="false"/>
                <w:sz w:val="26"/>
              </w:rPr>
              <w:t>17/2011/TT-BTP</w:t>
            </w:r>
          </w:p>
        </w:tc>
        <w:tc>
          <w:p/>
          <w:p>
            <w:pPr>
              <w:spacing w:after="0" w:before="0" w:lineRule="auto" w:line="276"/>
              <w:jc w:val="left"/>
            </w:pPr>
            <w:r>
              <w:rPr>
                <w:rFonts w:ascii="Times New Roman" w:hAnsi="Times New Roman" w:cs="Times New Roman" w:eastAsia="Times New Roman"/>
                <w:b w:val="false"/>
                <w:sz w:val="26"/>
              </w:rPr>
              <w:t>Thông tư 17/2011/TT-BTP</w:t>
            </w:r>
          </w:p>
        </w:tc>
        <w:tc>
          <w:p/>
          <w:p>
            <w:pPr>
              <w:spacing w:after="0" w:before="0" w:lineRule="auto" w:line="276"/>
              <w:jc w:val="left"/>
            </w:pPr>
            <w:r>
              <w:rPr>
                <w:rFonts w:ascii="Times New Roman" w:hAnsi="Times New Roman" w:cs="Times New Roman" w:eastAsia="Times New Roman"/>
                <w:b w:val="false"/>
                <w:sz w:val="26"/>
              </w:rPr>
              <w:t>14-10-2011</w:t>
            </w:r>
          </w:p>
        </w:tc>
        <w:tc>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220/2016/TT-BTC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đề nghị cấp lại Chứng chỉ hành nghề luật sư phải có đủ các tiêu chuẩn quy định tại Điều 10 của Luật Luật sư: công dân Việt Nam trung thành với Tổ quốc, tuân thủ Hiến pháp và pháp luật, có phẩm chất đạo đức tốt, có bằng cử nhân luật, đã được đào tạo nghề luật sư, đã qua thời gian tập sự hành nghề luật sư, có sức khoẻ bảo đảm hành nghề luật sư thì có thể trở thành luật sư.
b) Người thuộc trường hợp quy định tại điểm a khoản 1 Điều 2a của Nghị định số 137/2018/NĐ-CP ngày 08/10/2018 của Chính phủ sửa đổi, bổ sung một số điều của Nghị định số 123/2013/NĐ-CP ngày 14/10/2013 của Chính phủ mà quyết định kỷ luật đã chấm dứt hiệu lực hoặc đã hết thời hạn 03 năm, kể từ ngày quyết định kỷ luật buộc thôi việc có hiệu lực hoặc đã hết thời hạn 01 năm, kể từ ngày chấp hành xong quyết định xử lý hành chính hoặc người bị kết án về tội phạm do vô ý hoặc tội phạm ít nghiêm trọng do cố ý mà đã được xóa án tích và không thuộc trường hợp quy định tại điểm b khoản 1 Điều 2a của Nghị định số 137/2018/NĐ-CP, nếu có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thì được coi là đã sửa chữa, rèn luyện và đáp ứng tiêu chuẩn về tuân thủ Hiến pháp và pháp luật, có phẩm chất đạo đức tốt theo quy định tại Điều 10 của Luật Luật sư. 
c) Người thuộc một trong những trường hợp sau đây thì không được cấp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
- Đã bị xử lý hành chính hoặc xử lý kỷ luật hoặc xử lý hình sự hoặc có kết luận của cơ quan có thẩm quyền về một trong các hành vi liên quan đến chiếm đoạt tài sản, trục lợi, gian lận, gian dối, xâm phạm an ninh quốc gia; ứng xử, phát ngôn làm ảnh hưởng đến hình ảnh, uy tín nghề luật sư hoặc gây thiệt hại đến quyền và lợi ích hợp pháp của cơ quan, tổ chức, cá nhân; tham gia, lôi kéo, kích động, mua chuộc, cưỡng ép người khác tập trung đông người để gây rối trật tự công cộng, thực hiện các hành vi vi phạm pháp luật hoặc vi phạm quy định tại điểm b, d, e, g, i hoặc k khoản 1 Điều 9 của Luật Luật sư; vi phạm pháp luật khác do cố ý đã bị xử lý kỷ luật từ hai lần trở lên.
d) Đối với người đã bị thu hồi Chứng chỉ hành nghề luật sư quy định tại các điểm a, b, c, e và k khoản 1 Điều 18 của Luật này được xem xét cấp lại Chứng chỉ hành nghề luật sư khi đáp ứng đủ các tiêu chuẩn luật sư quy định tại Luật này và lý do bị thu hồi Chứng chỉ không còn.
đ) Đối với người đã bị thu hồi Chứng chỉ hành nghề luật sư quy định tại các điểm d và đ khoản 1 Điều 18 của Luật Luật sư được xem xét cấp lại Chứng chỉ hành nghề luật sư khi có đề nghị cấp lại Chứng chỉ hành nghề luật sư.
e) Đối với người đã bị thu hồi Chứng chỉ hành nghề luật sư quy định tại các điểm g, h và i khoản 1 Điều 18 của Luật Luật sư thì được xem xét cấp lại Chứng chỉ hành nghề luật sư khi có đủ tiêu chuẩn tại Điều 10 của Luật này và thuộc một trong các điều kiện sau đây:
- Sau thời hạn ba năm, kể từ ngày có quyết định thu hồi Chứng chỉ hành nghề luật sư do bị xử lý kỷ luật bằng hình thức xoá tên khỏi danh sách luật sư của Đoàn luật sư;
- Thời hạn tước quyền sử dụng Chứng chỉ hành nghề luật sư đã hết hoặc đã chấp hành xong quyết định áp dụng biện pháp xử lý hành chính đưa vào cơ sở cai nghiện bắt buộc, cơ sở giáo dục bắt buộc;
- Đã được xóa án tích trừ trường hợp quy định tại khoản 4 Điều 19 Luật luât sư.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2026-05-17T08:49:54Z</dcterms:created>
  <dc:creator>Apache POI</dc:creator>
</cp:coreProperties>
</file>