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Trung tâm trọng tài theo Điều lệ của Trung tâm trọng tài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là 30 ngày trước thời điểm chấm dứt hoạt động, Trung tâm trọng tài phải thông báo bằng văn bản về việc chấm dứt hoạt động cho Chủ tịch Ủy ban nhân dân cấp tỉnh, Sở Tư pháp nơi Trung tâm trọng tài đăng ký hoạt động; đăng báo hàng ngày của Trung ương hoặc báo địa phương nơi đăng ký hoạt động trong 03 số liên tiếp về việc chấm dứt hoạt động.
- Trung tâm trọng tài phải thanh toán xong các khoản nợ và hoàn tất các vụ việc đã nhận, trừ trường hợp có thỏa thuận khác.
- Trong thời hạn 07 ngày làm việc kể từ ngày hoàn tất các thủ tục nêu trên, Trung tâm trọng tài báo cáo Chủ tịch Ủy ban nhân dân cấp tỉnh nơi Trung tâm trọng tài đăng ký hoạt động bằng văn bản về việc hoàn tất các thủ tục.
- Trong thời hạn 07 ngày làm việc kể từ ngày nhận được báo cáo của Trung tâm trọng tài, Chủ tịch Ủy ban nhân dân cấp tỉnh ra quyết định về việc chấm dứt hoạt động của Trung tâm. Trong thời hạn 20 ngày làm việc kể từ ngày có quyết định thu hồi Giấy phép thành lập, Trung tâm trọng tài nộp lại Giấy phép thành lập cho Chủ tịch Ủy ban nhân dân cấp tỉnh, nộp lại Giấy đăng ký hoạt động cho Sở Tư pháp nơi Trung tâm trọng tài đăng ký hoạt động và nộp lại con dấu cho cơ quan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Trung tâm trọng tài</w:t>
            </w:r>
          </w:p>
        </w:tc>
        <w:tc>
          <w:p/>
          <w:p>
            <w:pPr>
              <w:spacing w:after="0" w:before="0" w:lineRule="auto" w:line="276"/>
              <w:jc w:val="left"/>
            </w:pPr>
            <w:r>
              <w:rPr>
                <w:rFonts w:ascii="Times New Roman" w:hAnsi="Times New Roman" w:cs="Times New Roman" w:eastAsia="Times New Roman"/>
                <w:b w:val="false"/>
                <w:sz w:val="26"/>
              </w:rPr>
              <w:t>Mus13-PLIII-TTTM.docx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chấm dứt hoạt động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Trọng tài thương mại số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2026-05-09T03:10:09Z</dcterms:created>
  <dc:creator>Apache POI</dc:creator>
</cp:coreProperties>
</file>