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709/QĐ-BXD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chứng chỉ hành nghề kiến trúc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Kiến trúc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 nhân có nhu cầu cấp chứng chỉ hành nghề kiến trúc nộp 01 bộ hồ sơ trực tuyến hoặc qua dịch vụ bưu chính hoặc trực tiếp tại Bộ phận tiếp nhận và trả kết quả của cơ quan chuyên môn về kiến trúc cấp tỉnh</w:t>
      </w:r>
    </w:p>
    <w:p>
      <w:pPr>
        <w:spacing w:after="0" w:before="0" w:lineRule="auto" w:line="276"/>
        <w:jc w:val="both"/>
      </w:pPr>
      <w:r>
        <w:rPr>
          <w:rFonts w:ascii="Times New Roman" w:hAnsi="Times New Roman" w:cs="Times New Roman" w:eastAsia="Times New Roman"/>
          <w:b w:val="false"/>
          <w:sz w:val="26"/>
        </w:rPr>
        <w:t>Trong thời hạn 03 ngày làm việc kể từ ngày tiếp nhận cơ quan có thẩm quyền cấp chứng chỉ hành nghề kiến trúc thông báo một lần bằng văn bản tới cá nhân đối với trường hợp hồ sơ thiếu hoặc không hợp lệ</w:t>
      </w:r>
    </w:p>
    <w:p>
      <w:pPr>
        <w:spacing w:after="0" w:before="0" w:lineRule="auto" w:line="276"/>
        <w:jc w:val="both"/>
      </w:pPr>
      <w:r>
        <w:rPr>
          <w:rFonts w:ascii="Times New Roman" w:hAnsi="Times New Roman" w:cs="Times New Roman" w:eastAsia="Times New Roman"/>
          <w:b w:val="false"/>
          <w:sz w:val="26"/>
        </w:rPr>
        <w:t>Trong thời hạn 06 ngày làm việc kể từ ngày nhận đủ hồ sơ hợp lệ, cơ quan có thẩm quyền có trách nhiệm cấp chứng chỉ hành nghề kiến trúc</w:t>
      </w:r>
    </w:p>
    <w:p>
      <w:pPr>
        <w:spacing w:after="0" w:before="0" w:lineRule="auto" w:line="276"/>
        <w:jc w:val="both"/>
      </w:pPr>
      <w:r>
        <w:rPr>
          <w:rFonts w:ascii="Times New Roman" w:hAnsi="Times New Roman" w:cs="Times New Roman" w:eastAsia="Times New Roman"/>
          <w:b w:val="false"/>
          <w:sz w:val="26"/>
        </w:rPr>
        <w:t>Cá nhân đăng ký nhận chứng chỉ hành nghề kiến trúc qua dịch vụ bưu chính hoặc trực tiếp tại địa điểm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300000 Đồng</w:t>
              <w:t xml:space="preserve"> (Theo quy định cụ thể của Bộ Tài chính.)</w:t>
            </w:r>
          </w:p>
        </w:tc>
        <w:tc>
          <w:p/>
          <w:p>
            <w:pPr>
              <w:spacing w:after="0" w:before="0" w:lineRule="auto" w:line="276"/>
              <w:jc w:val="left"/>
            </w:pPr>
            <w:r>
              <w:rPr>
                <w:rFonts w:ascii="Times New Roman" w:hAnsi="Times New Roman" w:cs="Times New Roman" w:eastAsia="Times New Roman"/>
                <w:b w:val="false"/>
                <w:sz w:val="26"/>
              </w:rPr>
              <w:t>06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300000 Đồng</w:t>
              <w:t xml:space="preserve"> (Theo quy định cụ thể của Bộ Tài chính.)</w:t>
            </w:r>
          </w:p>
        </w:tc>
        <w:tc>
          <w:p/>
          <w:p>
            <w:pPr>
              <w:spacing w:after="0" w:before="0" w:lineRule="auto" w:line="276"/>
              <w:jc w:val="left"/>
            </w:pPr>
            <w:r>
              <w:rPr>
                <w:rFonts w:ascii="Times New Roman" w:hAnsi="Times New Roman" w:cs="Times New Roman" w:eastAsia="Times New Roman"/>
                <w:b w:val="false"/>
                <w:sz w:val="26"/>
              </w:rPr>
              <w:t>06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300000 Đồng</w:t>
              <w:t xml:space="preserve"> (Theo quy định cụ thể của Bộ Tài chính.)</w:t>
            </w:r>
          </w:p>
        </w:tc>
        <w:tc>
          <w:p/>
          <w:p>
            <w:pPr>
              <w:spacing w:after="0" w:before="0" w:lineRule="auto" w:line="276"/>
              <w:jc w:val="left"/>
            </w:pPr>
            <w:r>
              <w:rPr>
                <w:rFonts w:ascii="Times New Roman" w:hAnsi="Times New Roman" w:cs="Times New Roman" w:eastAsia="Times New Roman"/>
                <w:b w:val="false"/>
                <w:sz w:val="26"/>
              </w:rPr>
              <w:t>6 ngày làm việc kể từ ngày nhận đủ hồ sơ hợp lệ (không bao gồm thời gian Bưu chính vận chuyển trả kết quả)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chứng chỉ hành nghề theo mẫu số 02 Phụ lục III của Nghị định số 85/2020/NĐ-CP ngày 17/7/2020 của Chính phủ quy định chi tiết một số điều của Luật Kiến trúc;</w:t>
            </w:r>
          </w:p>
        </w:tc>
        <w:tc>
          <w:p/>
          <w:p>
            <w:pPr>
              <w:spacing w:after="0" w:before="0" w:lineRule="auto" w:line="276"/>
              <w:jc w:val="left"/>
            </w:pPr>
            <w:r>
              <w:rPr>
                <w:rFonts w:ascii="Times New Roman" w:hAnsi="Times New Roman" w:cs="Times New Roman" w:eastAsia="Times New Roman"/>
                <w:b w:val="false"/>
                <w:sz w:val="26"/>
              </w:rPr>
              <w:t>Maudonso2PhulucIIInghidinh852020.doc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ảnh màu nền trắng cỡ 4 x 6 cm được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Bằng đại học phù hợp với nội dung chứng chỉ đề nghị cấp; đối với văn bằng do cơ sở đào tạo nước ngoài cấp, phải có bản dịch sang tiếng Việt, được công chứng,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Kết quả sát hạch đạt yêu cầu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Ngoại trừ đơn đề nghị, các văn bằng, tài liệu khác phải là bản sao có chứng thực hoặc tệp tin chứa ảnh màu chụp từ bản chính hoặc bản sao,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Người đứng đầu cơ quan chuyên môn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Người đứng đầu cơ quan chuyên môn thuộc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hoặc Bộ phận tiếp nhận và trả kết quả của cơ quan chuyên môn về kiến trúc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HNKT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40/2019/QH14</w:t>
            </w:r>
          </w:p>
        </w:tc>
        <w:tc>
          <w:p/>
          <w:p>
            <w:pPr>
              <w:spacing w:after="0" w:before="0" w:lineRule="auto" w:line="276"/>
              <w:jc w:val="left"/>
            </w:pPr>
            <w:r>
              <w:rPr>
                <w:rFonts w:ascii="Times New Roman" w:hAnsi="Times New Roman" w:cs="Times New Roman" w:eastAsia="Times New Roman"/>
                <w:b w:val="false"/>
                <w:sz w:val="26"/>
              </w:rPr>
              <w:t>Luật 40/2019/QH14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85/2020/NĐ-CP</w:t>
            </w:r>
          </w:p>
        </w:tc>
        <w:tc>
          <w:p/>
          <w:p>
            <w:pPr>
              <w:spacing w:after="0" w:before="0" w:lineRule="auto" w:line="276"/>
              <w:jc w:val="left"/>
            </w:pPr>
            <w:r>
              <w:rPr>
                <w:rFonts w:ascii="Times New Roman" w:hAnsi="Times New Roman" w:cs="Times New Roman" w:eastAsia="Times New Roman"/>
                <w:b w:val="false"/>
                <w:sz w:val="26"/>
              </w:rPr>
              <w:t>Nghị định 85/2020/NĐ-CP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w:t>
            </w:r>
          </w:p>
        </w:tc>
        <w:tc>
          <w:p/>
          <w:p>
            <w:pPr>
              <w:spacing w:after="0" w:before="0" w:lineRule="auto" w:line="276"/>
              <w:jc w:val="left"/>
            </w:pPr>
            <w:r>
              <w:rPr>
                <w:rFonts w:ascii="Times New Roman" w:hAnsi="Times New Roman" w:cs="Times New Roman" w:eastAsia="Times New Roman"/>
                <w:b w:val="false"/>
                <w:sz w:val="26"/>
              </w:rPr>
              <w:t>24/2026/NQ-CP</w:t>
            </w:r>
          </w:p>
        </w:tc>
        <w:tc>
          <w:p/>
          <w:p>
            <w:pPr>
              <w:spacing w:after="0" w:before="0" w:lineRule="auto" w:line="276"/>
              <w:jc w:val="left"/>
            </w:pPr>
            <w:r>
              <w:rPr>
                <w:rFonts w:ascii="Times New Roman" w:hAnsi="Times New Roman" w:cs="Times New Roman" w:eastAsia="Times New Roman"/>
                <w:b w:val="false"/>
                <w:sz w:val="26"/>
              </w:rPr>
              <w:t>29-04-2026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trình độ đại học trở lên trong lĩnh vực kiến trúc;
- Có kinh nghiệm tham gia thực hiện dịch vụ kiến trúc tối thiểu 03 năm tại tổ chức hành nghề kiến trúc hoặc hợp tác với kiến trúc sư hành nghề với tư cách cá nhân (Cá nhân đạt giải thưởng kiến trúc quốc gia hoặc giải thưởng quốc tế được miễn điều này); 
- Đạt yêu cầu sát hạch cấp chứng chỉ hành nghề kiến trúc (Cá nhân có thời gian liên tục từ 10 năm trở lên trực tiếp tham gia quản lý nhà nước về kiến trúc, đào tạo trình độ đại học trở lên về lĩnh vực kiến trúc, hành nghề kiến trúc được miễn điều kiện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2026-05-23T16:39:21Z</dcterms:created>
  <dc:creator>Apache POI</dc:creator>
</cp:coreProperties>
</file>