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thành lập thư viện chuyên ngành ở cấp tỉnh, thư viện đại học là thư viện ngoài công lập và thư viện của tổ chức, cá nhân nước ngoài có phục vụ người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mở cửa hoạt động, cơ quan, tổ chức, cá nhân thành lập thư viện gửi thông báo đến Ủy ban nhân dân cấp tỉnh nơi thư viện đặt trụ sở.</w:t>
      </w:r>
    </w:p>
    <w:p>
      <w:pPr>
        <w:spacing w:after="0" w:before="0" w:lineRule="auto" w:line="276"/>
        <w:jc w:val="both"/>
      </w:pPr>
      <w:r>
        <w:rPr>
          <w:rFonts w:ascii="Times New Roman" w:hAnsi="Times New Roman" w:cs="Times New Roman" w:eastAsia="Times New Roman"/>
          <w:b w:val="false"/>
          <w:sz w:val="26"/>
        </w:rPr>
        <w:t>Trong thời hạn 15 ngày, kể từ ngày nhận đủ hồ sơ thông báo hợp lệ, Ủy ban nhân dân cấp tỉnh phải trả lời bằng văn bản; trường hợp không đồng ý phải nêu rõ lý do. Trong thời hạn 10 ngày, kể từ ngày tiếp nhận thông báo, nếu hồ sơ thông báo không đủ tài liệu theo quy định, Ủy ban nhân dân cấp tỉnh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thư viện chuyên ngành ở cấp tỉnh, thư viện đại học là thư viện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của cơ quan có thẩm quyền hoặc Thông báo thành lập thư viện (dành cho thư viện của cơ quan, tổ chức, đơn vị, cơ sở giáo dục) (theo Mẫu số 03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thư viện của tổ chức, cá nhân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quyết định của cơ quan có thẩm quyền hoặc Thông báo thành lập thư viện (dành cho thư viện của tổ chức, cá nhân nước ngoài có phục vụ người Việt Nam) (theo Mẫu số 02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21 Nghị định số 93/2020/NĐ-CP ngày 18 tháng 8 năm 2020 của Chính phủ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2026-05-22T12:09:52Z</dcterms:created>
  <dc:creator>Apache POI</dc:creator>
</cp:coreProperties>
</file>