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chứng chỉ hành nghề kiến trúc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Kiến trúc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nộp 01 bộ hồ sơ trực tuyến, qua dịch vụ bưu chính hoặc trực tiếp tại Trung tâm phục vụ hành chính công của tỉnh hoặc Bộ phận tiếp nhận và trả kết quả của cơ quan chuyên môn về kiến trúc cấp tỉnh;</w:t>
      </w:r>
    </w:p>
    <w:p>
      <w:pPr>
        <w:spacing w:after="0" w:before="0" w:lineRule="auto" w:line="276"/>
        <w:jc w:val="both"/>
      </w:pPr>
      <w:r>
        <w:rPr>
          <w:rFonts w:ascii="Times New Roman" w:hAnsi="Times New Roman" w:cs="Times New Roman" w:eastAsia="Times New Roman"/>
          <w:b w:val="false"/>
          <w:sz w:val="26"/>
        </w:rPr>
        <w:t>- Trong thời hạn 03 ngày làm việc kể từ ngày tiếp nhận hồ sơ, cơ quan có thẩm quyền thông báo một lần bằng văn bản hướng dẫn cá nhân bổ sung, hoàn thiện hồ sơ đối với trường hợp hồ sơ thiếu hoặc không hợp lệ;</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đủ hồ sơ hợp lệ, cơ quan thẩm quyền có trách nhiệm cấp gia hạn chứng chỉ hành nghề kiến trúc.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(Theo quy định cụ thể của Bộ Tài chính.)</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(Theo quy định cụ thể của Bộ Tài chính.)</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(Theo quy định cụ thể của Bộ Tài chính.)</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 (không tính thời gian Bưu chính vận chuyển)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chứng chỉ hành nghề theo mẫu số 02 Phụ lục III của  Nghị định số 85/2020/NĐ-CP ngày 17/7/2020 của Chính phủ quy định chi tiết một số điều của Luật Kiến trúc;</w:t>
            </w:r>
          </w:p>
        </w:tc>
        <w:tc>
          <w:p/>
          <w:p>
            <w:pPr>
              <w:spacing w:after="0" w:before="0" w:lineRule="auto" w:line="276"/>
              <w:jc w:val="left"/>
            </w:pPr>
            <w:r>
              <w:rPr>
                <w:rFonts w:ascii="Times New Roman" w:hAnsi="Times New Roman" w:cs="Times New Roman" w:eastAsia="Times New Roman"/>
                <w:b w:val="false"/>
                <w:sz w:val="26"/>
              </w:rPr>
              <w:t>Maudonso2PhulucIIInghidinh852020.doc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ảnh màu nền trắng cỡ 4 x 6 cm chân dung của người đề nghị được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chỉ (hoặc chứng nhận) tham gia hoạt động phát triển nghề nghiệp liên tục lĩnh vực kiến trúc do tổ chức xã hội nghề nghiệp về hành nghề kiến trúc, cơ sở nghiên cứu đào tạo về kiến trúc cấp. Trường hợp tham gia các hoạt động phát triển nghề nghiệp liên tục tại nước ngoài thì cần có văn bản, chứng chỉ hoặc tài liệu chứng minh việc đã tham gia đó, được dịch ra tiếng Việt và công chứng,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tệp tin chứa ảnh màu chụp từ bản chính hoặc bản sao, xuất trình bản chính để đối chiếu chứng chỉ hành nghề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Người đứng đầu cơ quan chuyên môn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KT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40/2019/QH14</w:t>
            </w:r>
          </w:p>
        </w:tc>
        <w:tc>
          <w:p/>
          <w:p>
            <w:pPr>
              <w:spacing w:after="0" w:before="0" w:lineRule="auto" w:line="276"/>
              <w:jc w:val="left"/>
            </w:pPr>
            <w:r>
              <w:rPr>
                <w:rFonts w:ascii="Times New Roman" w:hAnsi="Times New Roman" w:cs="Times New Roman" w:eastAsia="Times New Roman"/>
                <w:b w:val="false"/>
                <w:sz w:val="26"/>
              </w:rPr>
              <w:t>Luật 40/2019/QH14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85/2020/NĐ-CP</w:t>
            </w:r>
          </w:p>
        </w:tc>
        <w:tc>
          <w:p/>
          <w:p>
            <w:pPr>
              <w:spacing w:after="0" w:before="0" w:lineRule="auto" w:line="276"/>
              <w:jc w:val="left"/>
            </w:pPr>
            <w:r>
              <w:rPr>
                <w:rFonts w:ascii="Times New Roman" w:hAnsi="Times New Roman" w:cs="Times New Roman" w:eastAsia="Times New Roman"/>
                <w:b w:val="false"/>
                <w:sz w:val="26"/>
              </w:rPr>
              <w:t>Nghị định 85/2020/NĐ-CP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số 35/2023/NĐ-CP ngày 20/6/2023 của Chính phủ 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Chứng chỉ hành nghề kiến trúc hết thời hạn sử dụng.
- Bảo đảm phát triển nghề nghiệp liên tục;
- Không vi phạm Quy tắc ứng xử nghề nghiệp của kiến trúc sư hành nghề.</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2026-05-06T09:33:35Z</dcterms:created>
  <dc:creator>Apache POI</dc:creator>
</cp:coreProperties>
</file>