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2295/QĐ-UBND_ĐT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Chính sách hỗ trợ phẫu thuật tim cho trẻ em bị bệnh tim bẩm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Cha, mẹ hoặc người nuôi dưỡng, người giám hộ đối với trẻ em thuộc đối tượng quy định nộp hồ sơ tại Bộ phận Tiếp nhận và Trả kết quả của Sở Y tế, đồng thời xuất trình bản chính của các bản sao thành phần hồ sơ để công chức một cửa kiểm tra, đối chiếu.
- Bước 2: Trung tâm phục vụ hành chính công thành phố Đà Nẵng nhận hồ sơ, kiểm tra tính hợp lệ, yêu cầu đối tượng bổ sung (nếu thiếu) và viết giấy biên nhận; chuyển hồ sơ đến Phòng Bảo trợ xã hội và Trẻ em.
- Bước 3: Phòng Bảo trợ xã hội và Trẻ em kiểm tra hồ sơ theo quy định và tham mưu lãnh đạo Sở Y tế xem xét, quyết định hỗ trợ. Trường hợp hồ sơ không đảm bảo, Phòng tham mưu lãnh đạo Sở có văn bản trả lời, chuyển Bộ phận Tiếp nhận và Trả kết quả trả lại cho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Không có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hỗ trợ chi phí phẫu thuật tim (mẫu đính kèm);</w:t>
            </w:r>
          </w:p>
        </w:tc>
        <w:tc>
          <w:p/>
          <w:p>
            <w:pPr>
              <w:spacing w:after="0" w:before="0" w:lineRule="auto" w:line="276"/>
              <w:jc w:val="left"/>
            </w:pPr>
            <w:r>
              <w:rPr>
                <w:rFonts w:ascii="Times New Roman" w:hAnsi="Times New Roman" w:cs="Times New Roman" w:eastAsia="Times New Roman"/>
                <w:b w:val="false"/>
                <w:sz w:val="26"/>
              </w:rPr>
              <w:t>Don de nghi ho tro.docx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thẻ Bảo hiểm y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Bản sao giấy thanh toán viện phí (chi phí khám, phẫu thuật tim);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giấy ra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các giấy tờ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gốc vé đi lại của các phương tiện giao thông thực tế đi khám, phẫu thuật tim (vé xe ôtô, vé tàu hỏa, vé máy bay, vé taxi,…); hóa đơn và các chứng từ khác theo quy định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TP. Đà Nẵng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thành phố Đà Nẵng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94/2022/NQ-HĐND</w:t>
            </w:r>
          </w:p>
        </w:tc>
        <w:tc>
          <w:p/>
          <w:p>
            <w:pPr>
              <w:spacing w:after="0" w:before="0" w:lineRule="auto" w:line="276"/>
              <w:jc w:val="left"/>
            </w:pPr>
            <w:r>
              <w:rPr>
                <w:rFonts w:ascii="Times New Roman" w:hAnsi="Times New Roman" w:cs="Times New Roman" w:eastAsia="Times New Roman"/>
                <w:b w:val="false"/>
                <w:sz w:val="26"/>
              </w:rPr>
              <w:t>Nghị quyết số 94/2022/NQ-HĐND ngày 15/12/2022 của HĐND thành phố quy định về chính sách hỗ trợ phẫu thuật tim cho trẻ em bị bệnh tim bẩm sinh trên địa bàn thành phố Đà Nẵng</w:t>
            </w:r>
          </w:p>
        </w:tc>
        <w:tc>
          <w:p/>
          <w:p>
            <w:pPr>
              <w:spacing w:after="0" w:before="0" w:lineRule="auto" w:line="276"/>
              <w:jc w:val="left"/>
            </w:pPr>
            <w:r>
              <w:rPr>
                <w:rFonts w:ascii="Times New Roman" w:hAnsi="Times New Roman" w:cs="Times New Roman" w:eastAsia="Times New Roman"/>
                <w:b w:val="false"/>
                <w:sz w:val="26"/>
              </w:rPr>
              <w:t>15-12-2022</w:t>
            </w:r>
          </w:p>
        </w:tc>
        <w:tc>
          <w:p/>
          <w:p>
            <w:pPr>
              <w:spacing w:after="0" w:before="0" w:lineRule="auto" w:line="276"/>
              <w:jc w:val="left"/>
            </w:pPr>
            <w:r>
              <w:rPr>
                <w:rFonts w:ascii="Times New Roman" w:hAnsi="Times New Roman" w:cs="Times New Roman" w:eastAsia="Times New Roman"/>
                <w:b w:val="false"/>
                <w:sz w:val="26"/>
              </w:rPr>
              <w:t>Hội đồng nhân dân cấp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2026-05-19T12:37:21Z</dcterms:created>
  <dc:creator>Apache POI</dc:creator>
</cp:coreProperties>
</file>