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1.002407.000.00.00.H32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cấp học bổng chính sách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sinh viên theo chế độ cử tuyển:</w:t>
      </w:r>
    </w:p>
    <w:p>
      <w:pPr>
        <w:spacing w:after="0" w:before="0" w:lineRule="auto" w:line="276"/>
        <w:jc w:val="both"/>
      </w:pPr>
      <w:r>
        <w:rPr>
          <w:rFonts w:ascii="Times New Roman" w:hAnsi="Times New Roman" w:cs="Times New Roman" w:eastAsia="Times New Roman"/>
          <w:b w:val="false"/>
          <w:sz w:val="26"/>
        </w:rPr>
        <w:t>- Sở Nội vụ, Sở Lao động - Thương binh và Xã hội tiếp nhận hồ sơ, thẩm định, lập danh sách, dự toán nhu cầu kinh phí và thực hiện việc chi trả học bổng chính sách cho sinh viên theo quy định.</w:t>
      </w:r>
    </w:p>
    <w:p>
      <w:pPr>
        <w:spacing w:after="0" w:before="0" w:lineRule="auto" w:line="276"/>
        <w:jc w:val="both"/>
      </w:pPr>
      <w:r>
        <w:rPr>
          <w:rFonts w:ascii="Times New Roman" w:hAnsi="Times New Roman" w:cs="Times New Roman" w:eastAsia="Times New Roman"/>
          <w:b w:val="false"/>
          <w:sz w:val="26"/>
        </w:rPr>
        <w:t>- Trường hợp hồ sơ không bảo đảm đúng quy định, Sở Nội vụ, Sở Lao động - Thương binh và Xã hội có trách nhiệm thông báo cho người học trong thời hạn 07 ngày làm việc kể từ ngày nhận được hồ sơ.</w:t>
      </w:r>
    </w:p>
    <w:p>
      <w:pPr>
        <w:spacing w:after="0" w:before="0" w:lineRule="auto" w:line="276"/>
        <w:jc w:val="both"/>
      </w:pPr>
      <w:r>
        <w:rPr>
          <w:rFonts w:ascii="Times New Roman" w:hAnsi="Times New Roman" w:cs="Times New Roman" w:eastAsia="Times New Roman"/>
          <w:b w:val="false"/>
          <w:sz w:val="26"/>
        </w:rPr>
        <w:t>- Trong thời hạn 15 ngày kể từ ngày nhập học, sinh viên nộp hồ sơ trực tiếp hoặc qua đường bưu điện hoặc nộp trực tuyến theo quy định về Sở Nội vụ nơi đăng ký hộ khẩu thường trú đối với sinh viên trường đại học, trường cao đẳng sư phạm hoặc Sở lao động - Thương binh và Xã hội nơi đăng ký hộ khẩu thường trú đối với sinh viên trường cao đẳng trừ sinh viên trường cao đẳng sư phạm.</w:t>
      </w:r>
    </w:p>
    <w:p>
      <w:pPr>
        <w:spacing w:after="0" w:before="0" w:lineRule="auto" w:line="276"/>
        <w:jc w:val="both"/>
      </w:pPr>
      <w:r>
        <w:rPr>
          <w:rFonts w:ascii="Times New Roman" w:hAnsi="Times New Roman" w:cs="Times New Roman" w:eastAsia="Times New Roman"/>
          <w:b w:val="false"/>
          <w:sz w:val="26"/>
        </w:rPr>
        <w:t>- Sinh viên nhận học bổng chính sách trực tiếp tại Sở Nội vụ, Sở Lao động - Thương binh và Xã hội hoặc thông qua tài khoản ngân hàng của sinh viên theo định kỳ xét, cấp học bổng.</w:t>
      </w:r>
    </w:p>
    <w:p>
      <w:pPr>
        <w:shd w:val="clear" w:color="auto" w:fill="F2F6F9"/>
        <w:spacing w:after="0" w:before="120" w:lineRule="auto" w:line="276"/>
        <w:jc w:val="both"/>
      </w:pPr>
      <w:r>
        <w:rPr>
          <w:rFonts w:ascii="Times New Roman" w:hAnsi="Times New Roman" w:cs="Times New Roman" w:eastAsia="Times New Roman"/>
          <w:b w:val="true"/>
          <w:sz w:val="26"/>
        </w:rPr>
        <w:t>Đối với học viên cơ sở giáo dục nghề nghiệp dành cho thương binh, người khuyết tật:</w:t>
      </w:r>
    </w:p>
    <w:p>
      <w:pPr>
        <w:spacing w:after="0" w:before="0" w:lineRule="auto" w:line="276"/>
        <w:jc w:val="both"/>
      </w:pPr>
      <w:r>
        <w:rPr>
          <w:rFonts w:ascii="Times New Roman" w:hAnsi="Times New Roman" w:cs="Times New Roman" w:eastAsia="Times New Roman"/>
          <w:b w:val="false"/>
          <w:sz w:val="26"/>
        </w:rPr>
        <w:t>-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w:t>
      </w:r>
    </w:p>
    <w:p>
      <w:pPr>
        <w:spacing w:after="0" w:before="0" w:lineRule="auto" w:line="276"/>
        <w:jc w:val="both"/>
      </w:pPr>
      <w:r>
        <w:rPr>
          <w:rFonts w:ascii="Times New Roman" w:hAnsi="Times New Roman" w:cs="Times New Roman" w:eastAsia="Times New Roman"/>
          <w:b w:val="false"/>
          <w:sz w:val="26"/>
        </w:rPr>
        <w:t>- Trong thời hạn 15 ngày kể từ ngày nhập học, cơ sở giáo dục nghề nghiệp thông báo cho học viên về chế độ học bổng chính sách, thời gian nộp hồ sơ và hướng dẫn học viên nộp hồ sơ theo quy định.</w:t>
      </w:r>
    </w:p>
    <w:p>
      <w:pPr>
        <w:spacing w:after="0" w:before="0" w:lineRule="auto" w:line="276"/>
        <w:jc w:val="both"/>
      </w:pPr>
      <w:r>
        <w:rPr>
          <w:rFonts w:ascii="Times New Roman" w:hAnsi="Times New Roman" w:cs="Times New Roman" w:eastAsia="Times New Roman"/>
          <w:b w:val="false"/>
          <w:sz w:val="26"/>
        </w:rPr>
        <w:t>-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Phòng Lao động - Thương binh và Xã hội nơi học viên có hộ khẩu thường trú. 
Phòng Lao động - Thương binh và Xã hội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Phòng Lao động - Thương binh và Xã hội có trách nhiệm thông báo cho người học trong thời hạn 07 ngày làm việc kể từ ngày nhận được hồ sơ.</w:t>
      </w:r>
    </w:p>
    <w:p>
      <w:pPr>
        <w:shd w:val="clear" w:color="auto" w:fill="F2F6F9"/>
        <w:spacing w:after="0" w:before="120" w:lineRule="auto" w:line="276"/>
        <w:jc w:val="both"/>
      </w:pPr>
      <w:r>
        <w:rPr>
          <w:rFonts w:ascii="Times New Roman" w:hAnsi="Times New Roman" w:cs="Times New Roman" w:eastAsia="Times New Roman"/>
          <w:b w:val="true"/>
          <w:sz w:val="26"/>
        </w:rPr>
        <w:t>Đối với học sinh trường dự bị đại học, trường phổ thông dân tộc nội trú:</w:t>
      </w:r>
    </w:p>
    <w:p>
      <w:pPr>
        <w:spacing w:after="0" w:before="0" w:lineRule="auto" w:line="276"/>
        <w:jc w:val="both"/>
      </w:pPr>
      <w:r>
        <w:rPr>
          <w:rFonts w:ascii="Times New Roman" w:hAnsi="Times New Roman" w:cs="Times New Roman" w:eastAsia="Times New Roman"/>
          <w:b w:val="false"/>
          <w:sz w:val="26"/>
        </w:rPr>
        <w:t>- Trong thời hạn 15 ngày kể từ ngày nhập học, học sinh nộp hồ sơ theo quy định cho nhà trường nơi học sinh đang theo học để xét, cấp học bổng chính sách.</w:t>
      </w:r>
    </w:p>
    <w:p>
      <w:pPr>
        <w:spacing w:after="0" w:before="0" w:lineRule="auto" w:line="276"/>
        <w:jc w:val="both"/>
      </w:pPr>
      <w:r>
        <w:rPr>
          <w:rFonts w:ascii="Times New Roman" w:hAnsi="Times New Roman" w:cs="Times New Roman" w:eastAsia="Times New Roman"/>
          <w:b w:val="false"/>
          <w:sz w:val="26"/>
        </w:rPr>
        <w:t>- Cơ sở giáo dục tiếp nhận hồ sơ, thẩm định, lập danh sách, dự toán nhu cầu kinh phí gửi về cơ quan quản lý trực tiếp. Trường hợp hồ sơ không bảo đảm đúng quy định, cơ sở giáo dục có trách nhiệm thông báo cho người học trong thời hạn 05 ngày làm việc kể từ ngày nhận được hồ sơ.</w:t>
      </w:r>
    </w:p>
    <w:p>
      <w:pPr>
        <w:spacing w:after="0" w:before="0" w:lineRule="auto" w:line="276"/>
        <w:jc w:val="both"/>
      </w:pPr>
      <w:r>
        <w:rPr>
          <w:rFonts w:ascii="Times New Roman" w:hAnsi="Times New Roman" w:cs="Times New Roman" w:eastAsia="Times New Roman"/>
          <w:b w:val="false"/>
          <w:sz w:val="26"/>
        </w:rPr>
        <w:t>- Học sinh nhận học bổng chính sách tại cơ sở giáo dục đang theo học theo định kỳ xét, cấp học bổng chính sách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Sở Nội Vụ/Sở Lao động - Thương binh và Xã hội/Cơ sở giáo dục/Phòng Lao động - Thương binh và Xã hội.
a) Đối với sinh viên theo chế độ cử tuyển:
- Sở Nội vụ, Sở Lao động - Thương binh và Xã hội tiếp nhận hồ sơ, thẩm định, lập danh sách, dự toán nhu cầu kinh phí và thực hiện việc chi trả học bổng chính sách cho sinh viên theo quy định.
- Trường hợp hồ sơ không bảo đảm đúng quy định, Sở Nội vụ, Sở Lao động - Thương binh và Xã hội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Phòng Lao động - Thương binh và Xã hội nơi học viên có hộ khẩu thường trú. Phòng Lao động - Thương binh và Xã hội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Phòng Lao động - Thương binh và Xã hội có trách nhiệm thông báo cho người học trong thời hạn 07 ngày làm việc kể từ ngày nhận được hồ sơ.
*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Lao động - Thương binh và Xã hội tiếp nhận hồ sơ, thẩm định, lập danh sách, dự toán nhu cầu kinh phí và thực hiện việc chi trả học bổng chính sách cho sinh viên theo quy định.
- Trường hợp hồ sơ không bảo đảm đúng quy định, Sở Nội vụ, Sở Lao động - Thương binh và Xã hội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Phòng Lao động - Thương binh và Xã hội nơi học viên có hộ khẩu thường trú. Phòng Lao động - Thương binh và Xã hội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Phòng Lao động - Thương binh và Xã hội có trách nhiệm thông báo cho người học trong thời hạn 07 ngày làm việc kể từ ngày nhận được hồ sơ.
*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Lao động - Thương binh và Xã hội tiếp nhận hồ sơ, thẩm định, lập danh sách, dự toán nhu cầu kinh phí và thực hiện việc chi trả học bổng chính sách cho sinh viên theo quy định.
- Trường hợp hồ sơ không bảo đảm đúng quy định, Sở Nội vụ, Sở Lao động - Thương binh và Xã hội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Phòng Lao động - Thương binh và Xã hội nơi học viên có hộ khẩu thường trú. Phòng Lao động - Thương binh và Xã hội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Phòng Lao động - Thương binh và Xã hội có trách nhiệm thông báo cho người học trong thời hạn 07 ngày làm việc kể từ ngày nhận được hồ sơ.
*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c) Đối với học viên cơ sở giáo dục nghề nghiệp dành cho thương binh, người khuyết tật: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02; Mẫu số 03 tại Phụ lục ban hành kèm theo Nghị định số 84/2020/NĐ-CP).</w:t>
            </w:r>
          </w:p>
        </w:tc>
        <w:tc>
          <w:p/>
          <w:p>
            <w:pPr>
              <w:spacing w:after="0" w:before="0" w:lineRule="auto" w:line="276"/>
              <w:jc w:val="left"/>
            </w:pPr>
            <w:r>
              <w:rPr>
                <w:rFonts w:ascii="Times New Roman" w:hAnsi="Times New Roman" w:cs="Times New Roman" w:eastAsia="Times New Roman"/>
                <w:b w:val="false"/>
                <w:sz w:val="26"/>
              </w:rPr>
              <w:t>Mẫu số 02_84ND2020.docx</w:t>
            </w:r>
          </w:p>
          <w:p>
            <w:pPr>
              <w:spacing w:after="0" w:before="0" w:lineRule="auto" w:line="276"/>
              <w:jc w:val="left"/>
            </w:pPr>
            <w:r>
              <w:rPr>
                <w:rFonts w:ascii="Times New Roman" w:hAnsi="Times New Roman" w:cs="Times New Roman" w:eastAsia="Times New Roman"/>
                <w:b w:val="false"/>
                <w:sz w:val="26"/>
              </w:rPr>
              <w:t>Mẫu số 03_84ND2020.docx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giấy xác nhận khuyết tật do Ủy ban nhân dân cấp xã, cấp đối với học viên là người khuyết tật. Trường hợp học viên chưa có giấy xác nhận khuyết tật thì bổ sung bản sao được cấp từ sổ gốc, bản sao được chứng thực từ bản chính hoặc bản sao kèm theo bản chính để đối chiếu quyết định của Ủy ban nhân dân cấp xã về việc trợ cấp xã hội đối với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thẻ thương binh đối với học viên là thương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học sinh trường dự bị đại học, trường phổ thông dân tộc nội trú: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báo trúng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giấy xác nhận khuyết tật do Ủy ban nhân dân xã cấp đối với học viên là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sinh viên theo chế độ cử tuyển: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cam kết của sinh viên, có xác nhận của nhà trường nơi đang theo học (Theo Mẫu số 01 tại Phụ lục ban hành kèm theo Nghị định số 84/2020/NĐ-CP)</w:t>
            </w:r>
          </w:p>
        </w:tc>
        <w:tc>
          <w:p/>
          <w:p>
            <w:pPr>
              <w:spacing w:after="0" w:before="0" w:lineRule="auto" w:line="276"/>
              <w:jc w:val="left"/>
            </w:pPr>
            <w:r>
              <w:rPr>
                <w:rFonts w:ascii="Times New Roman" w:hAnsi="Times New Roman" w:cs="Times New Roman" w:eastAsia="Times New Roman"/>
                <w:b w:val="false"/>
                <w:sz w:val="26"/>
              </w:rPr>
              <w:t>Mẫu số 01_84ND2020.docx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động-Thương binh và Xã hội, Cơ sở giáo dục, Sở Nội vụ tỉnh Thái Bình, Phòng Lao động -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giáo dục, Sở Nội vụ tỉnh Lào Cai, Sở Lao động - Thương binh và Xã hội Tp.Đà Nẵng, Phòng Lao động - 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tại Bộ phận tiếp nhận và Trả kết quả: Sở Nội vụ; Sở lao động - Thương binh và Xã hội; Nộp hồ sơ tại nhà trường nơi học sinh đang theo học; cơ sở giáo dục nghề nghiệp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bổng chính sách được cấp cho người học nhận học bổng theo các hình thức: trực tiếp chuyển kinh phí cho cơ sở giáo dục, cấp tiền mặt trực tiếp hoặc chuyển qua tài khoản ngân hàng. Người học nhận học bổng chính sách hai lần trong năm học, mỗi lần cấp 6 tháng, lần thứ nhất cấp vào tháng 10, lần thứ hai cấp vào tháng 3</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84/2020/NĐ-CP</w:t>
            </w:r>
          </w:p>
        </w:tc>
        <w:tc>
          <w:p/>
          <w:p>
            <w:pPr>
              <w:spacing w:after="0" w:before="0" w:lineRule="auto" w:line="276"/>
              <w:jc w:val="left"/>
            </w:pPr>
            <w:r>
              <w:rPr>
                <w:rFonts w:ascii="Times New Roman" w:hAnsi="Times New Roman" w:cs="Times New Roman" w:eastAsia="Times New Roman"/>
                <w:b w:val="false"/>
                <w:sz w:val="26"/>
              </w:rPr>
              <w:t>Nghị định 84/2020/NĐ-CP</w:t>
            </w:r>
          </w:p>
        </w:tc>
        <w:tc>
          <w:p/>
          <w:p>
            <w:pPr>
              <w:spacing w:after="0" w:before="0" w:lineRule="auto" w:line="276"/>
              <w:jc w:val="left"/>
            </w:pPr>
            <w:r>
              <w:rPr>
                <w:rFonts w:ascii="Times New Roman" w:hAnsi="Times New Roman" w:cs="Times New Roman" w:eastAsia="Times New Roman"/>
                <w:b w:val="false"/>
                <w:sz w:val="26"/>
              </w:rPr>
              <w:t>17-07-2020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2026-05-26T20:04:30Z</dcterms:created>
  <dc:creator>Apache POI</dc:creator>
</cp:coreProperties>
</file>