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công chứng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công chứng nhận sáp nhập nộp hồ sơ đăng ký hoạt động tại Sở Tư pháp nơi đăng ký hoạt động;
- Sở Tư pháp xem xét, thay đổi nội dung đăng ký hoạt động của Văn phòng công chứng nhận sáp nhập;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(/hồ sơ)</w:t>
            </w:r>
          </w:p>
        </w:tc>
        <w:tc>
          <w:p/>
          <w:p>
            <w:pPr>
              <w:spacing w:after="0" w:before="0" w:lineRule="auto" w:line="276"/>
              <w:jc w:val="left"/>
            </w:pPr>
            <w:r>
              <w:rPr>
                <w:rFonts w:ascii="Times New Roman" w:hAnsi="Times New Roman" w:cs="Times New Roman" w:eastAsia="Times New Roman"/>
                <w:b w:val="false"/>
                <w:sz w:val="26"/>
              </w:rPr>
              <w:t>kể từ ngày nhận đủ hồ sơ hợp lệ, Sở Tư pháp xem xét, thay đổi nội dung đăng ký hoạt động của Văn phòng công chứng nhận sáp nhập;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(/hồ sơ)</w:t>
            </w:r>
          </w:p>
        </w:tc>
        <w:tc>
          <w:p/>
          <w:p>
            <w:pPr>
              <w:spacing w:after="0" w:before="0" w:lineRule="auto" w:line="276"/>
              <w:jc w:val="left"/>
            </w:pPr>
            <w:r>
              <w:rPr>
                <w:rFonts w:ascii="Times New Roman" w:hAnsi="Times New Roman" w:cs="Times New Roman" w:eastAsia="Times New Roman"/>
                <w:b w:val="false"/>
                <w:sz w:val="26"/>
              </w:rPr>
              <w:t>kể từ ngày nhận đủ hồ sơ hợp lệ, Sở Tư pháp xem xét, thay đổi nội dung đăng ký hoạt động của Văn phòng công chứng nhận sáp nhập;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(/hồ sơ)</w:t>
            </w:r>
          </w:p>
        </w:tc>
        <w:tc>
          <w:p/>
          <w:p>
            <w:pPr>
              <w:spacing w:after="0" w:before="0" w:lineRule="auto" w:line="276"/>
              <w:jc w:val="left"/>
            </w:pPr>
            <w:r>
              <w:rPr>
                <w:rFonts w:ascii="Times New Roman" w:hAnsi="Times New Roman" w:cs="Times New Roman" w:eastAsia="Times New Roman"/>
                <w:b w:val="false"/>
                <w:sz w:val="26"/>
              </w:rPr>
              <w:t>kể từ ngày nhận đủ hồ sơ hợp lệ, Sở Tư pháp xem xét, thay đổi nội dung đăng ký hoạt động của Văn phòng công chứng nhận sáp nhập;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cho phép sáp nhập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trụ sở của Văn phòng công chứng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hành nghề của các công chứng viên đang hành nghề tại các Văn phòng công chứng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thay đổi nội dung đăng ký hoạt động của Văn phòng công chứng ban hành kèm theo 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10. Giay de nghi thay doi DKHD..doc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 nhận sáp nhập đã được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29/2015/NĐ-CP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Công chứng</w:t>
            </w:r>
          </w:p>
        </w:tc>
        <w:tc>
          <w:p/>
          <w:p>
            <w:pPr>
              <w:spacing w:after="0" w:before="0" w:lineRule="auto" w:line="276"/>
              <w:jc w:val="left"/>
            </w:pPr>
            <w:r>
              <w:rPr>
                <w:rFonts w:ascii="Times New Roman" w:hAnsi="Times New Roman" w:cs="Times New Roman" w:eastAsia="Times New Roman"/>
                <w:b w:val="false"/>
                <w:sz w:val="26"/>
              </w:rPr>
              <w:t>15-03-2015</w:t>
            </w:r>
          </w:p>
        </w:tc>
        <w:tc>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01/2021/TT-BTP</w:t>
            </w:r>
          </w:p>
        </w:tc>
        <w:tc>
          <w:p/>
          <w:p>
            <w:pPr>
              <w:spacing w:after="0" w:before="0" w:lineRule="auto" w:line="276"/>
              <w:jc w:val="left"/>
            </w:pPr>
            <w:r>
              <w:rPr>
                <w:rFonts w:ascii="Times New Roman" w:hAnsi="Times New Roman" w:cs="Times New Roman" w:eastAsia="Times New Roman"/>
                <w:b w:val="false"/>
                <w:sz w:val="26"/>
              </w:rPr>
              <w:t>Thông tư 01/2021/TT-BTP</w:t>
            </w:r>
          </w:p>
        </w:tc>
        <w:tc>
          <w:p/>
          <w:p>
            <w:pPr>
              <w:spacing w:after="0" w:before="0" w:lineRule="auto" w:line="276"/>
              <w:jc w:val="left"/>
            </w:pPr>
            <w:r>
              <w:rPr>
                <w:rFonts w:ascii="Times New Roman" w:hAnsi="Times New Roman" w:cs="Times New Roman" w:eastAsia="Times New Roman"/>
                <w:b w:val="false"/>
                <w:sz w:val="26"/>
              </w:rPr>
              <w:t>03-02-2021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15 ngày, kể từ ngày nhận được Quyết định cho phép sáp nhập, Văn phòng công chứng nhận sáp nhập phải thực hiện thay đổi nội dung đăng ký hoạt động theo quy định tại Điều 24 của Luật Công chứng.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2026-05-23T00:44:09Z</dcterms:created>
  <dc:creator>Apache POI</dc:creator>
</cp:coreProperties>
</file>