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1.009092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hải quan đối với phương tiện thuỷ nội địa xuất cảnh, nhập cảnh và phương tiện qua lại khu vực cửa khẩu biên giới để giao nhận hàng hoá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khai hải quan khai và ký tên vào tờ khai phương tiện vận tải đường thủy tạm nhập - tái xuất, tờ khai phương tiện tạm xuất - tái nhập; nộp, xuất trình các giấy tờ liên quan đến phương tiện vận tải.
Trường hợp khi tái xuất hoặc tái nhập mà người khai hải quan không xuất trình được tờ khai tạm nhập - tái xuất, tờ khai tạm xuất - tái nhập có xác nhận của Chi cục Hải quan cửa khẩu thì phải giải trình và khai báo lại trên tờ khai tạm nhập - tái xuất, tờ khai tạm xuất - tái nhập.</w:t>
      </w:r>
    </w:p>
    <w:p>
      <w:pPr>
        <w:spacing w:after="0" w:before="0" w:lineRule="auto" w:line="276"/>
        <w:jc w:val="both"/>
      </w:pPr>
      <w:r>
        <w:rPr>
          <w:rFonts w:ascii="Times New Roman" w:hAnsi="Times New Roman" w:cs="Times New Roman" w:eastAsia="Times New Roman"/>
          <w:b w:val="false"/>
          <w:sz w:val="26"/>
        </w:rPr>
        <w:t>Bước 2: Cơ quan hải quan tiếp nhận hồ sơ hải quan; thực hiện quản lý rủi ro để kiểm tra hồ sơ, kiểm tra thực tế, xác nhận tạm nhập, tái xuất hoặc tạm xuất, tái nhập đối với phương tiện vận tải đường thủy nội địa nhập cảnh, xuất cảnh.
Trường hợp hồ sơ, giấy tờ chưa đầy đủ, hợp lệ thì từ chối tiếp nhận đăng ký hồ sơ, thông báo rõ lý do không tiếp nhận và những thiếu sót cần bổ sung cho người khai hải quan.
Trường hợp hồ sơ đầy đủ, hợp lệ thì in tờ khai phương tiện vận tải đường thủy tạm nhập - tái xuất, tờ khai phương tiện vận tải đường thủy nội địa tạm xuất - tái nhập từ hệ thống, đóng dấu công chức hải quan tiếp nhận và dấu “VIET NAM CUSTOMS” theo mẫu do Cục trưởng Cục Hải quan ban hành lên tờ khai, giao cho người khai hải quan để làm thủ tục khi tái nhập hoặc tái xuất; lưu hồ sơ tờ khai do người khai hải quan nộp khi làm thủ tục tái nhập hoặc tái xuất;
Trong quá trình giám sát, trường hợp xác định có dấu hiệu buôn lậu, vận chuyển trái phép hàng hóa, cơ quan hải quan thực hiện các biện pháp kiểm tra, ngăn chặn, tạm giữ, khám xét theo quy định của pháp luật.</w:t>
      </w:r>
    </w:p>
    <w:p>
      <w:pPr>
        <w:shd w:val="clear" w:color="auto" w:fill="F2F6F9"/>
        <w:spacing w:after="0" w:before="120" w:lineRule="auto" w:line="276"/>
        <w:jc w:val="both"/>
      </w:pPr>
      <w:r>
        <w:rPr>
          <w:rFonts w:ascii="Times New Roman" w:hAnsi="Times New Roman" w:cs="Times New Roman" w:eastAsia="Times New Roman"/>
          <w:b w:val="true"/>
          <w:sz w:val="26"/>
        </w:rPr>
        <w:t>* Đối với một số trường hợp đặc thù:</w:t>
      </w:r>
    </w:p>
    <w:p>
      <w:pPr>
        <w:spacing w:after="0" w:before="0" w:lineRule="auto" w:line="276"/>
        <w:jc w:val="both"/>
      </w:pPr>
      <w:r>
        <w:rPr>
          <w:rFonts w:ascii="Times New Roman" w:hAnsi="Times New Roman" w:cs="Times New Roman" w:eastAsia="Times New Roman"/>
          <w:b w:val="false"/>
          <w:sz w:val="26"/>
        </w:rPr>
        <w:t>- Trường hợp phương tiện vận tải thô sơ và các phương tiện giao thông khác theo quy định tại Luật Giao thông đường thủy nội địa vào khu vực cửa khẩu để giao nhận hàng trong hoạt động thương mại biên giới, khi qua lại cửa khẩu biên giới, chủ phương tiện hoặc người điều khiển phương tiện xuất trình cho cơ quan hải quan giấy tờ tùy thân và giấy tờ phương tiện (nếu có). Trường hợp phương tiện chở hàng hóa xuất khẩu, nhập khẩu thì nộp tờ khai hàng hóa xuất khẩu, nhập khẩu (hoặc chứng từ chứng minh là hàng hóa xuất khẩu, nhập khẩu) và 01 Bản kê thông tin hàng hóa nhập khẩu (trong trường hợp vận chuyển hàng nhập khẩu từ nước ngoài vào Việt Nam).
Người điều khiển phương tiện có trách nhiệm đưa phương tiện chở hàng hóa nhập khẩu vào địa điểm tập kết, kiểm tra, giám sát hàng hóa xuất khẩu, nhập khẩu hoặc khu vực tập kết, kiểm tra, giám sát hàng hóa theo quy định tại khu vực cửa khẩu để chờ làm thủ tục hải quan.
Cơ quan hải quan tiếp nhận, kiểm tra các chứng từ do người điều khiển phương tiện nộp, xuất trình theo quy định tại khoản này; cập nhật vào sổ theo dõi theo quy định và thực hiện giám sát phương tiện trong thời gian phương tiện hoạt động tại khu vực cửa khẩu. Trường hợp các chứng từ chưa đầy đủ, hợp lệ thì không cho phép phương tiện xuất cảnh, nhập cảnh và thông báo rõ lý do cho người điều khiển phương tiện.
Thời gian phương tiện vận tải đường thủy nội địa quy định tại khoản này giao nhận hàng hóa không vượt quá 72 giờ kể từ khi phương tiện xuất cảnh, nhập cảnh qua cửa khẩu biên giới. Trong trường hợp nếu có lý do chính đáng cần kéo dài thời gian lưu lại tại khu vực cửa khẩu thì người điều khiển phương tiện hoặc chủ hàng hóa có văn bản đề nghị, Đội trưởng Hải quan xem xét gia hạn, thời gian gia hạn thêm không quá 48 giờ.</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Việc kiểm tra phương tiện vận tải phải bảo đảm kịp thời việc xếp dỡ hàng hóa xuất khẩu, nhập khẩu, việc xuất cảnh, nhập cảnh của hành khách và bảo đảm việc kiểm tra, giám sát hải quan theo quy định </w:t>
            </w:r>
          </w:p>
        </w:tc>
        <w:tc>
          <w:p/>
          <w:p>
            <w:pPr>
              <w:spacing w:after="0" w:before="0" w:lineRule="auto" w:line="276"/>
              <w:jc w:val="left"/>
            </w:pPr>
            <w:r>
              <w:rPr>
                <w:rFonts w:ascii="Times New Roman" w:hAnsi="Times New Roman" w:cs="Times New Roman" w:eastAsia="Times New Roman"/>
                <w:b w:val="false"/>
                <w:sz w:val="26"/>
              </w:rPr>
              <w:t>Phí : 20.000 Đồng</w:t>
              <w:t xml:space="preserve"> (đối với 1 tờ khai)</w:t>
            </w:r>
          </w:p>
          <w:p>
            <w:pPr>
              <w:spacing w:after="0" w:before="0" w:lineRule="auto" w:line="276"/>
              <w:jc w:val="left"/>
            </w:pPr>
            <w:r>
              <w:rPr>
                <w:rFonts w:ascii="Times New Roman" w:hAnsi="Times New Roman" w:cs="Times New Roman" w:eastAsia="Times New Roman"/>
                <w:b w:val="false"/>
                <w:sz w:val="26"/>
              </w:rPr>
              <w:t>Lệ phí : 500.000 Đồng</w:t>
              <w:t xml:space="preserve"> (đối với phương tiện quá cảnh đường thuỷ)</w:t>
            </w:r>
          </w:p>
        </w:tc>
        <w:tc>
          <w:p/>
          <w:p>
            <w:pPr>
              <w:spacing w:after="0" w:before="0" w:lineRule="auto" w:line="276"/>
              <w:jc w:val="left"/>
            </w:pPr>
            <w:r>
              <w:rPr>
                <w:rFonts w:ascii="Times New Roman" w:hAnsi="Times New Roman" w:cs="Times New Roman" w:eastAsia="Times New Roman"/>
                <w:b w:val="false"/>
                <w:sz w:val="26"/>
              </w:rPr>
              <w:t>Thủ công (trực tiếp tại trụ sở cơ quan Hải quan).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Việc kiểm tra phương tiện vận tải phải bảo đảm kịp thời việc xếp dỡ hàng hóa xuất khẩu, nhập khẩu, việc xuất cảnh, nhập cảnh của hành khách và bảo đảm việc kiểm tra, giám sát hải quan theo quy định. </w:t>
            </w:r>
          </w:p>
        </w:tc>
        <w:tc>
          <w:p/>
          <w:p>
            <w:pPr>
              <w:spacing w:after="0" w:before="0" w:lineRule="auto" w:line="276"/>
              <w:jc w:val="left"/>
            </w:pPr>
            <w:r>
              <w:rPr>
                <w:rFonts w:ascii="Times New Roman" w:hAnsi="Times New Roman" w:cs="Times New Roman" w:eastAsia="Times New Roman"/>
                <w:b w:val="false"/>
                <w:sz w:val="26"/>
              </w:rPr>
              <w:t>Phí : 20.000 Đồng</w:t>
              <w:t xml:space="preserve"> (20.000/tờ khai)</w:t>
            </w:r>
          </w:p>
          <w:p>
            <w:pPr>
              <w:spacing w:after="0" w:before="0" w:lineRule="auto" w:line="276"/>
              <w:jc w:val="left"/>
            </w:pPr>
            <w:r>
              <w:rPr>
                <w:rFonts w:ascii="Times New Roman" w:hAnsi="Times New Roman" w:cs="Times New Roman" w:eastAsia="Times New Roman"/>
                <w:b w:val="false"/>
                <w:sz w:val="26"/>
              </w:rPr>
              <w:t>Phí : 500.000 Đồng</w:t>
              <w:t xml:space="preserve"> (500.000 đồng/phương tiện)</w:t>
            </w:r>
          </w:p>
        </w:tc>
        <w:tc>
          <w:p/>
          <w:p>
            <w:pPr>
              <w:spacing w:after="0" w:before="0" w:lineRule="auto" w:line="276"/>
              <w:jc w:val="left"/>
            </w:pPr>
            <w:r>
              <w:rPr>
                <w:rFonts w:ascii="Times New Roman" w:hAnsi="Times New Roman" w:cs="Times New Roman" w:eastAsia="Times New Roman"/>
                <w:b w:val="false"/>
                <w:sz w:val="26"/>
              </w:rPr>
              <w:t>Khi hệ thống công nghệ thông tin đáp ứng việc khai báo bằng phương thức điện tử thì người khai hải quan thực hiện khai báo trên hệ thống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hải quan nhập cảnh đối với phương tiện vận tải đường thủy nội địa nước ngoài tạm nhập và phương tiện vận tải đường thủy nội địa Việt Nam tái nhập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phép vận tải đường thủy qua biên giới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khai phương tiện vận tải đường thủy tạm nhập - tái xuất: Nộp 01 bản chính hoặc Tờ khai phương tiện vận tải đường sông tạm xuất - tái nhập có xác nhận tạm nhập của Chi cục Hải quan cửa khẩu làm thủ tục tạm xuất</w:t>
            </w:r>
          </w:p>
        </w:tc>
        <w:tc>
          <w:p/>
          <w:p>
            <w:pPr>
              <w:spacing w:after="0" w:before="0" w:lineRule="auto" w:line="276"/>
              <w:jc w:val="left"/>
            </w:pPr>
            <w:r>
              <w:rPr>
                <w:rFonts w:ascii="Times New Roman" w:hAnsi="Times New Roman" w:cs="Times New Roman" w:eastAsia="Times New Roman"/>
                <w:b w:val="false"/>
                <w:sz w:val="26"/>
              </w:rPr>
              <w:t>Tkhaitmnhptixut.docx</w:t>
            </w:r>
          </w:p>
          <w:p>
            <w:pPr>
              <w:spacing w:after="0" w:before="0" w:lineRule="auto" w:line="276"/>
              <w:jc w:val="left"/>
            </w:pPr>
            <w:r>
              <w:rPr>
                <w:rFonts w:ascii="Times New Roman" w:hAnsi="Times New Roman" w:cs="Times New Roman" w:eastAsia="Times New Roman"/>
                <w:b w:val="false"/>
                <w:sz w:val="26"/>
              </w:rPr>
              <w:t>Tkhaitmxuttinhp.docx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Bản kê nguyên liệu, vật dụng dự trữ trên phương tiện vận tải đường thủy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Bản khai hành lý thuyền viên, nhân viên làm việc trên phương tiện vận tải đường thủy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Bản khai hàng hóa trong trường hợp phương tiện vận tải đường thủy vận chuyển hàng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Danh sách hành khách trong trường hợp phương tiện vận tải đường thủy vận chuyển hành khách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Danh sách thuyền viên, nhân viên làm việc trên phương tiện vận tải đường thủy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hải quan xuất cảnh đối với phương tiện vận tải đường thủy nội địa nước ngoài tái xuất và phương tiện vận tải đường thủy nội địa Việt Nam tạm xuất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phép vận tải đường thủy qua biên giới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Tờ khai phương tiện vận tải đường thủy tạm xuất - tái nhập: Nộp 01 bản chính hoặc Tờ khai phương tiện vận tải đường thủy tạm nhập - tái xuất có xác nhận tạm nhập của Chi cục Hải quan cửa khẩu làm thủ tục tạm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Bản kê nguyên liệu, vật dụng dự trữ trên tầu theo mẫu quy định của Bộ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Bản khai hành lý thuyền viên, nhân viên làm việc trên phương tiện vận tải đường thủy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Bản khai hàng hóa trong trường hợp phương tiện vận tải đường thủy vận chuyển hàng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Danh sách hành khách trong trường hợp phương tiện vận tải đường thủy vận chuyển hành khách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Danh sách thuyền viên, nhân viên làm việc trên phương tiện vận tải đường thủy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Hải quan cửa khẩu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thông quan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59/2018/NĐ-CP</w:t>
            </w:r>
          </w:p>
        </w:tc>
        <w:tc>
          <w:p/>
          <w:p>
            <w:pPr>
              <w:spacing w:after="0" w:before="0" w:lineRule="auto" w:line="276"/>
              <w:jc w:val="left"/>
            </w:pPr>
            <w:r>
              <w:rPr>
                <w:rFonts w:ascii="Times New Roman" w:hAnsi="Times New Roman" w:cs="Times New Roman" w:eastAsia="Times New Roman"/>
                <w:b w:val="false"/>
                <w:sz w:val="26"/>
              </w:rPr>
              <w:t>Nghị định 59/2018/NĐ-CP</w:t>
            </w:r>
          </w:p>
        </w:tc>
        <w:tc>
          <w:p/>
          <w:p>
            <w:pPr>
              <w:spacing w:after="0" w:before="0" w:lineRule="auto" w:line="276"/>
              <w:jc w:val="left"/>
            </w:pPr>
            <w:r>
              <w:rPr>
                <w:rFonts w:ascii="Times New Roman" w:hAnsi="Times New Roman" w:cs="Times New Roman" w:eastAsia="Times New Roman"/>
                <w:b w:val="false"/>
                <w:sz w:val="26"/>
              </w:rPr>
              <w:t>20-04-2018</w:t>
            </w:r>
          </w:p>
        </w:tc>
        <w:tc>
          <w:p/>
        </w:tc>
      </w:tr>
      <w:tr>
        <w:tc>
          <w:p/>
          <w:p>
            <w:pPr>
              <w:spacing w:after="0" w:before="0" w:lineRule="auto" w:line="276"/>
              <w:jc w:val="left"/>
            </w:pPr>
            <w:r>
              <w:rPr>
                <w:rFonts w:ascii="Times New Roman" w:hAnsi="Times New Roman" w:cs="Times New Roman" w:eastAsia="Times New Roman"/>
                <w:b w:val="false"/>
                <w:sz w:val="26"/>
              </w:rPr>
              <w:t>50/2018/TT-BTC</w:t>
            </w:r>
          </w:p>
        </w:tc>
        <w:tc>
          <w:p/>
          <w:p>
            <w:pPr>
              <w:spacing w:after="0" w:before="0" w:lineRule="auto" w:line="276"/>
              <w:jc w:val="left"/>
            </w:pPr>
            <w:r>
              <w:rPr>
                <w:rFonts w:ascii="Times New Roman" w:hAnsi="Times New Roman" w:cs="Times New Roman" w:eastAsia="Times New Roman"/>
                <w:b w:val="false"/>
                <w:sz w:val="26"/>
              </w:rPr>
              <w:t>Thông tư 50/2018/TT-BTC</w:t>
            </w:r>
          </w:p>
        </w:tc>
        <w:tc>
          <w:p/>
          <w:p>
            <w:pPr>
              <w:spacing w:after="0" w:before="0" w:lineRule="auto" w:line="276"/>
              <w:jc w:val="left"/>
            </w:pPr>
            <w:r>
              <w:rPr>
                <w:rFonts w:ascii="Times New Roman" w:hAnsi="Times New Roman" w:cs="Times New Roman" w:eastAsia="Times New Roman"/>
                <w:b w:val="false"/>
                <w:sz w:val="26"/>
              </w:rPr>
              <w:t>23-05-2018</w:t>
            </w:r>
          </w:p>
        </w:tc>
        <w:tc>
          <w:p/>
        </w:tc>
      </w:tr>
      <w:tr>
        <w:tc>
          <w:p/>
          <w:p>
            <w:pPr>
              <w:spacing w:after="0" w:before="0" w:lineRule="auto" w:line="276"/>
              <w:jc w:val="left"/>
            </w:pPr>
            <w:r>
              <w:rPr>
                <w:rFonts w:ascii="Times New Roman" w:hAnsi="Times New Roman" w:cs="Times New Roman" w:eastAsia="Times New Roman"/>
                <w:b w:val="false"/>
                <w:sz w:val="26"/>
              </w:rPr>
              <w:t>54/2014/QH13</w:t>
            </w:r>
          </w:p>
        </w:tc>
        <w:tc>
          <w:p/>
          <w:p>
            <w:pPr>
              <w:spacing w:after="0" w:before="0" w:lineRule="auto" w:line="276"/>
              <w:jc w:val="left"/>
            </w:pPr>
            <w:r>
              <w:rPr>
                <w:rFonts w:ascii="Times New Roman" w:hAnsi="Times New Roman" w:cs="Times New Roman" w:eastAsia="Times New Roman"/>
                <w:b w:val="false"/>
                <w:sz w:val="26"/>
              </w:rPr>
              <w:t>Luật 54/2014/QH13</w:t>
            </w:r>
          </w:p>
        </w:tc>
        <w:tc>
          <w:p/>
          <w:p>
            <w:pPr>
              <w:spacing w:after="0" w:before="0" w:lineRule="auto" w:line="276"/>
              <w:jc w:val="left"/>
            </w:pPr>
            <w:r>
              <w:rPr>
                <w:rFonts w:ascii="Times New Roman" w:hAnsi="Times New Roman" w:cs="Times New Roman" w:eastAsia="Times New Roman"/>
                <w:b w:val="false"/>
                <w:sz w:val="26"/>
              </w:rPr>
              <w:t>23-06-2014</w:t>
            </w:r>
          </w:p>
        </w:tc>
        <w:tc>
          <w:p/>
        </w:tc>
      </w:tr>
      <w:tr>
        <w:tc>
          <w:p/>
          <w:p>
            <w:pPr>
              <w:spacing w:after="0" w:before="0" w:lineRule="auto" w:line="276"/>
              <w:jc w:val="left"/>
            </w:pPr>
            <w:r>
              <w:rPr>
                <w:rFonts w:ascii="Times New Roman" w:hAnsi="Times New Roman" w:cs="Times New Roman" w:eastAsia="Times New Roman"/>
                <w:b w:val="false"/>
                <w:sz w:val="26"/>
              </w:rPr>
              <w:t>08/2015/NĐ-CP</w:t>
            </w:r>
          </w:p>
        </w:tc>
        <w:tc>
          <w:p/>
          <w:p>
            <w:pPr>
              <w:spacing w:after="0" w:before="0" w:lineRule="auto" w:line="276"/>
              <w:jc w:val="left"/>
            </w:pPr>
            <w:r>
              <w:rPr>
                <w:rFonts w:ascii="Times New Roman" w:hAnsi="Times New Roman" w:cs="Times New Roman" w:eastAsia="Times New Roman"/>
                <w:b w:val="false"/>
                <w:sz w:val="26"/>
              </w:rPr>
              <w:t>Nghị định 08/2015/NĐ-CP</w:t>
            </w:r>
          </w:p>
        </w:tc>
        <w:tc>
          <w:p/>
          <w:p>
            <w:pPr>
              <w:spacing w:after="0" w:before="0" w:lineRule="auto" w:line="276"/>
              <w:jc w:val="left"/>
            </w:pPr>
            <w:r>
              <w:rPr>
                <w:rFonts w:ascii="Times New Roman" w:hAnsi="Times New Roman" w:cs="Times New Roman" w:eastAsia="Times New Roman"/>
                <w:b w:val="false"/>
                <w:sz w:val="26"/>
              </w:rPr>
              <w:t>21-01-2015</w:t>
            </w:r>
          </w:p>
        </w:tc>
        <w:tc>
          <w:p/>
        </w:tc>
      </w:tr>
      <w:tr>
        <w:tc>
          <w:p/>
          <w:p>
            <w:pPr>
              <w:spacing w:after="0" w:before="0" w:lineRule="auto" w:line="276"/>
              <w:jc w:val="left"/>
            </w:pPr>
            <w:r>
              <w:rPr>
                <w:rFonts w:ascii="Times New Roman" w:hAnsi="Times New Roman" w:cs="Times New Roman" w:eastAsia="Times New Roman"/>
                <w:b w:val="false"/>
                <w:sz w:val="26"/>
              </w:rPr>
              <w:t>167/2025</w:t>
            </w:r>
          </w:p>
        </w:tc>
        <w:tc>
          <w:p/>
          <w:p>
            <w:pPr>
              <w:spacing w:after="0" w:before="0" w:lineRule="auto" w:line="276"/>
              <w:jc w:val="left"/>
            </w:pPr>
            <w:r>
              <w:rPr>
                <w:rFonts w:ascii="Times New Roman" w:hAnsi="Times New Roman" w:cs="Times New Roman" w:eastAsia="Times New Roman"/>
                <w:b w:val="false"/>
                <w:sz w:val="26"/>
              </w:rPr>
              <w:t>Nghị định số 167/2025/NĐ-CP ngày 30/6/2025 của Chính phủ</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121/2025/TT-BTC</w:t>
            </w:r>
          </w:p>
        </w:tc>
        <w:tc>
          <w:p/>
          <w:p>
            <w:pPr>
              <w:spacing w:after="0" w:before="0" w:lineRule="auto" w:line="276"/>
              <w:jc w:val="left"/>
            </w:pPr>
            <w:r>
              <w:rPr>
                <w:rFonts w:ascii="Times New Roman" w:hAnsi="Times New Roman" w:cs="Times New Roman" w:eastAsia="Times New Roman"/>
                <w:b w:val="false"/>
                <w:sz w:val="26"/>
              </w:rPr>
              <w:t>Thông tư số 121/2025/TT-BTC sửa đổi, bổ sung một số điều của các Thông tư quy định về thủ tục hải quan, kiểm tra, giám sát hải quan, thuế xuất khẩu, thuế nhập khẩu và quản lý thuế đối với hàng hoá xuất khẩu, nhập khẩu</w:t>
            </w:r>
          </w:p>
        </w:tc>
        <w:tc>
          <w:p/>
          <w:p>
            <w:pPr>
              <w:spacing w:after="0" w:before="0" w:lineRule="auto" w:line="276"/>
              <w:jc w:val="left"/>
            </w:pPr>
            <w:r>
              <w:rPr>
                <w:rFonts w:ascii="Times New Roman" w:hAnsi="Times New Roman" w:cs="Times New Roman" w:eastAsia="Times New Roman"/>
                <w:b w:val="false"/>
                <w:sz w:val="26"/>
              </w:rPr>
              <w:t>18-12-2025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86/2025/TT-BTC</w:t>
            </w:r>
          </w:p>
        </w:tc>
        <w:tc>
          <w:p/>
          <w:p>
            <w:pPr>
              <w:spacing w:after="0" w:before="0" w:lineRule="auto" w:line="276"/>
              <w:jc w:val="left"/>
            </w:pPr>
            <w:r>
              <w:rPr>
                <w:rFonts w:ascii="Times New Roman" w:hAnsi="Times New Roman" w:cs="Times New Roman" w:eastAsia="Times New Roman"/>
                <w:b w:val="false"/>
                <w:sz w:val="26"/>
              </w:rPr>
              <w:t>Thông tư số 86/2025/TT-BTC của Bộ Tài chính: Quy định mức thu, chế độ thu, nộp, quản lý và sử dụng phí hải quan và lệ phí hàng hóa, phương tiện vận tải quá cảnh</w:t>
            </w:r>
          </w:p>
        </w:tc>
        <w:tc>
          <w:p/>
          <w:p>
            <w:pPr>
              <w:spacing w:after="0" w:before="0" w:lineRule="auto" w:line="276"/>
              <w:jc w:val="left"/>
            </w:pPr>
            <w:r>
              <w:rPr>
                <w:rFonts w:ascii="Times New Roman" w:hAnsi="Times New Roman" w:cs="Times New Roman" w:eastAsia="Times New Roman"/>
                <w:b w:val="false"/>
                <w:sz w:val="26"/>
              </w:rPr>
              <w:t>28-08-2025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Mẫu đơn, Tờ khai:
- Tờ khai phương tiện vận tải đường thủy nội địa tạm nhập - tái xuất: Mẫu số 03 Phụ lục V ban hành kèm theo Thông tư số 50/2018/TT-BTC ngày 23 tháng 5 năm 2018 của Bộ trưởng Bộ Tài chính;
- Tờ khai phương tiện vận tải đường thủy nội địa tạm xuất - tái nhập: Mẫu số 04 Phụ lục V ban hành kèm theo Thông tư số 50/2018/TT-BTC ngày 23 tháng 5 năm 2018 của Bộ trưởng Bộ Tài chính.
- Bản kê thông tin hàng hóa nhập khẩu: Mẫu số 39 Phụ lục X ban hành kèm theo Thông tư số 38/2015/TT-BTC ngày 25 tháng 3 năm 2015 được sửa đổi, bổ sung tại Thông tư số 121/2025/TT-BTC ngày 18 tháng 12 năm 2025 của Bộ trưởng Bộ Tài chính.</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2026-05-14T17:00:21Z</dcterms:created>
  <dc:creator>Apache POI</dc:creator>
</cp:coreProperties>
</file>