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6968/QĐ-BCA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Kiểm tra, xét duyệt nhân sự, cấp phép nhập cảnh cho người nước ngoài nhập cảnh vào Việt Nam qua giao dịch điện tử tại Cổng thông tin điện tử về xuất nhập cảnh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mời, bảo lãnh truy cập Cổng thông tin điện tử về xuất nhập cảnh (có tên miền tiếng Việt là “https://www.xuatnhapcanh.gov.vn”, tiếng Anh là “https://www.immigration.gov.vn”) hoặc Cổng dịch vụ công quốc gia, Cổng dịch vụ công Bộ Công an, sử dụng tài khoản điện tử được cấp đăng nhập vào mục khai để nhập thông tin của người nước ngoài theo các trường thông tin được yêu cầu trên Trang giao dịch điện tử thuộc Cổng thông tin điện tử về xuất nhập cảnh hoặc Cổng dịch vụ công quốc gia, Cổng dịch vụ công Bộ Công an.</w:t>
      </w:r>
    </w:p>
    <w:p>
      <w:pPr>
        <w:spacing w:after="0" w:before="0" w:lineRule="auto" w:line="276"/>
        <w:jc w:val="both"/>
      </w:pPr>
      <w:r>
        <w:rPr>
          <w:rFonts w:ascii="Times New Roman" w:hAnsi="Times New Roman" w:cs="Times New Roman" w:eastAsia="Times New Roman"/>
          <w:b w:val="false"/>
          <w:sz w:val="26"/>
        </w:rPr>
        <w:t>Bước 2: Cơ quan, tổ chức có chữ ký điện tử theo quy định của Luật giao dịch điện tử, sử dụng chữ ký điện tử để xác nhận thông tin đề nghị.</w:t>
      </w:r>
    </w:p>
    <w:p>
      <w:pPr>
        <w:spacing w:after="0" w:before="0" w:lineRule="auto" w:line="276"/>
        <w:jc w:val="both"/>
      </w:pPr>
      <w:r>
        <w:rPr>
          <w:rFonts w:ascii="Times New Roman" w:hAnsi="Times New Roman" w:cs="Times New Roman" w:eastAsia="Times New Roman"/>
          <w:b w:val="false"/>
          <w:sz w:val="26"/>
        </w:rPr>
        <w:t>Bước 3: Nộp hồ sơ:
- Sau khi sử dụng chữ ký điện tử để xác nhận thông tin đề nghị và thanh toán khoản cước phí để thực hiện việc thông báo cho cơ quan có thẩm quyền cấp thị thực của Việt Nam ở nước ngoài (nếu đề nghị thông báo cho cơ quan có thẩm quyền cấp thị thực của Việt Nam ở nước ngoài cấp thị thực) thì hệ thống tự động đẩy dữ liệu về Cục Quản lý xuất nhập cảnh.
- Thời gian nộp hồ sơ: 24 giờ/07 ngày.</w:t>
      </w:r>
    </w:p>
    <w:p>
      <w:pPr>
        <w:spacing w:after="0" w:before="0" w:lineRule="auto" w:line="276"/>
        <w:jc w:val="both"/>
      </w:pPr>
      <w:r>
        <w:rPr>
          <w:rFonts w:ascii="Times New Roman" w:hAnsi="Times New Roman" w:cs="Times New Roman" w:eastAsia="Times New Roman"/>
          <w:b w:val="false"/>
          <w:sz w:val="26"/>
        </w:rPr>
        <w:t>Bước 4: Nhận kết quả:
- Cơ quan, tổ chức truy cập vào Trang giao dịch điện tử thuộc Cổng thông tin điện tử về xuất nhập cảnh hoặc Cổng dịch vụ quốc gia hoặc Cổng dịch vụ công Bộ Công an để kiểm tra kết quả giải quyết, trường hợp được cấp phép nhập cảnh cho người nước ngoài thì thông báo cho người nước ngoài để làm thủ tục nhận thị thực tại cơ quan có thẩm quyền cấp thị thực của Việt Nam ở nước ngoài hoặc làm thủ tục nhận thị thực tại cửa khẩu quốc tế.
- Thời gian: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qua Trang giao dịch điện tử thuộc Cổng thông tin điện tử về xuất nhập cảnh hoặc Cổng dịch vụ công quốc gia hoặc Cổng dịch vụ công Bộ Công an (có chữ ký điện tử theo quy định của Luật giao dịch điện tử).
Không quá 05 ngày làm việc, kể từ khi nhận đủ hồ sơ đối với trường hợp người nước ngoài nhận thị thực tại cơ quan có thẩm quyền cấp thị thực của Việt Nam ở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qua Trang giao dịch điện tử thuộc Cổng thông tin điện tử về xuất nhập cảnh hoặc Cổng dịch vụ công quốc gia hoặc Cổng dịch vụ công Bộ Công an (có chữ ký điện tử theo quy định của Luật giao dịch điện tử).
Không quá 03 ngày làm việc kể từ khi nhận đủ hồ sơ đối với trường hợp người nước ngoài được nhận thị thực tại cửa khẩu quốc tế.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qua Trang giao dịch điện tử thuộc Cổng thông tin điện tử về xuất nhập cảnh hoặc Cổng dịch vụ công quốc gia hoặc Cổng dịch vụ công Bộ Công an (có chữ ký điện tử theo quy định của Luật giao dịch điện tử).
Không quá 12 giờ làm việc kể từ khi nhận đủ hồ sơ đối với các trường hợp được nhận thị thực tại cửa khẩu quốc tế quy định tại điểm đ, e  khoản 1 Điều 18 Luật số 47/2014/QH13 ngày 16/6/2014.</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xét duyệt, kiểm tra nhân sự người nước ngoài nhập cảnh (NA2).</w:t>
            </w:r>
          </w:p>
        </w:tc>
        <w:tc>
          <w:p/>
          <w:p>
            <w:pPr>
              <w:spacing w:after="0" w:before="0" w:lineRule="auto" w:line="276"/>
              <w:jc w:val="left"/>
            </w:pPr>
            <w:r>
              <w:rPr>
                <w:rFonts w:ascii="Times New Roman" w:hAnsi="Times New Roman" w:cs="Times New Roman" w:eastAsia="Times New Roman"/>
                <w:b w:val="false"/>
                <w:sz w:val="26"/>
              </w:rPr>
              <w:t>Mau NA2-BCA.docx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Số lượng hồ sơ: 01 (một)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mời, bảo lãnh truy cập Cổng thông tin điện tử về xuất nhập cảnh (có tên miền tiếng Việt là “https://www.xuatnhapcanh.gov.vn”, tiếng Anh là “https://www.immigration.gov.vn”),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trả lời đề nghị xét duyệt nhân sự người nước ngoài nhập cảnh (NB1), Công văn trả lời đề nghị cấp thị thực tại cửa khẩu quốc tế (NB3), Công văn trả lời đề nghị kiểm tra nhân sự người nước ngoài nhập cảnh (NB2)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04/2015/TT-BCA </w:t>
            </w:r>
          </w:p>
        </w:tc>
        <w:tc>
          <w:p/>
          <w:p>
            <w:pPr>
              <w:spacing w:after="0" w:before="0" w:lineRule="auto" w:line="276"/>
              <w:jc w:val="left"/>
            </w:pPr>
            <w:r>
              <w:rPr>
                <w:rFonts w:ascii="Times New Roman" w:hAnsi="Times New Roman" w:cs="Times New Roman" w:eastAsia="Times New Roman"/>
                <w:b w:val="false"/>
                <w:sz w:val="26"/>
              </w:rPr>
              <w:t>04/2015/TT-BCA</w:t>
            </w:r>
          </w:p>
        </w:tc>
        <w:tc>
          <w:p/>
          <w:p>
            <w:pPr>
              <w:spacing w:after="0" w:before="0" w:lineRule="auto" w:line="276"/>
              <w:jc w:val="left"/>
            </w:pPr>
            <w:r>
              <w:rPr>
                <w:rFonts w:ascii="Times New Roman" w:hAnsi="Times New Roman" w:cs="Times New Roman" w:eastAsia="Times New Roman"/>
                <w:b w:val="false"/>
                <w:sz w:val="26"/>
              </w:rPr>
              <w:t>05-01-2015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57/2020/TT-BCA</w:t>
            </w:r>
          </w:p>
        </w:tc>
        <w:tc>
          <w:p/>
          <w:p>
            <w:pPr>
              <w:spacing w:after="0" w:before="0" w:lineRule="auto" w:line="276"/>
              <w:jc w:val="left"/>
            </w:pPr>
            <w:r>
              <w:rPr>
                <w:rFonts w:ascii="Times New Roman" w:hAnsi="Times New Roman" w:cs="Times New Roman" w:eastAsia="Times New Roman"/>
                <w:b w:val="false"/>
                <w:sz w:val="26"/>
              </w:rPr>
              <w:t>Thông tư 57/2020/TT-BCA</w:t>
            </w:r>
          </w:p>
        </w:tc>
        <w:tc>
          <w:p/>
          <w:p>
            <w:pPr>
              <w:spacing w:after="0" w:before="0" w:lineRule="auto" w:line="276"/>
              <w:jc w:val="left"/>
            </w:pPr>
            <w:r>
              <w:rPr>
                <w:rFonts w:ascii="Times New Roman" w:hAnsi="Times New Roman" w:cs="Times New Roman" w:eastAsia="Times New Roman"/>
                <w:b w:val="false"/>
                <w:sz w:val="26"/>
              </w:rPr>
              <w:t>10-06-2020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làm thủ tục mời, bảo lãnh người nước ngoài nhập cảnh Việt Nam, cơ quan, tổ chức cần phải có văn bản thông báo cho Cục Quản lý xuất nhập cảnh, Bộ Công an, kèm theo Hồ sơ gồm: Bản sao chứng thực giấy phép hoặc quyết định của cơ quan có thẩm quyền về việc thành lập tổ chức; văn bản giới thiệu con dấu, chữ ký của người có thẩm quyền của tổ chức.
+ Người nước ngoài, người Việt Nam mang hộ chiếu nước ngoài không được cấp phép nhập cảnh Việt Nam nếu thuộc diện “chưa cho nhập cảnh” theo quy định của pháp luật Việt Nam.
+ Có tài khoản điện tử do Cơ quan quản lý xuất nhập cảnh cấp.
+ Chữ ký điện tử theo quy định của Luật giao dịch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Kiểm tra, xét duyệt nhân sự, cấp phép nhập cảnh cho người nước ngoài nhập nhập cảnh cảnh vào Việt Nam qua giao dịch điện tử tại Cổng thông tin điện tử về xuất nhập cảnh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2026-04-29T01:56:46Z</dcterms:created>
  <dc:creator>Apache POI</dc:creator>
</cp:coreProperties>
</file>