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1.009096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2902/QĐ-BTC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hải quan đối với tàu biển  xuất cảnh, nhập cảnh, quá cảnh, chuyển cảng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khai hải quan tạo lập thông tin và gửi lên Cổng thông tin một cửa quốc gia</w:t>
      </w:r>
    </w:p>
    <w:p>
      <w:pPr>
        <w:spacing w:after="0" w:before="0" w:lineRule="auto" w:line="276"/>
        <w:jc w:val="both"/>
      </w:pPr>
      <w:r>
        <w:rPr>
          <w:rFonts w:ascii="Times New Roman" w:hAnsi="Times New Roman" w:cs="Times New Roman" w:eastAsia="Times New Roman"/>
          <w:b w:val="false"/>
          <w:sz w:val="26"/>
        </w:rPr>
        <w:t>- Bước 2: Cơ quan hải quan tiếp nhận, khai thác thông tin trên Cổng thông tin một cửa quốc gia hoặc thông tin từ hồ sơ giấy để làm thủ tục xuất cảnh, nhập cảnh, quá cảnh
+ Trường hợp thông tin khai đầy đủ các chỉ tiêu theo quy định thì cơ quan Hải quan gửi thông báo chấp nhận nội dung khai hải quan thông qua Cổng thông tin một cửa quốc gia.
Trường hợp thông tin khai hải quan chưa đầy đủ thì cơ quan Hải quan thông báo lý do chưa tiếp nhận và yêu cầu người khai hải quan khai bổ sung thông qua Cổng thông tin một cửa quốc gia;
+ Trường hợp có cơ sở xác định trên tàu biển có hàng hóa buôn lậu hoặc vận chuyển trái phép, Chi cục trưởng Chi cục Hải quan quyết định kiểm tra thực tế tàu biển hoặc thực hiện các biện pháp nghiệp vụ khác theo quy định của pháp luật;
+ Trường hợp người khai hải quan nộp hồ sơ giấy: Cơ quan hải quan nơi giải quyết thủ tục tàu xuất cảnh/nhập cảnh tiếp nhận hồ sơ, kiểm tra các chứng từ thuộc bộ hồ sơ quy định tại Nghị định số 58/2017/NĐ-CP ngày 10/5/2017 của Chính phủ quy định chi tiết Luật Hàng hải. Nếu hồ sơ chưa đầy đủ thì yêu cầu người khai hải quan bổ sung theo quy định.
Ngay sau khi hệ thống được khắc phục, người khai hải quan cập nhật thông tin chứng từ điện tử lên Cổng thông tin một cửa quốc gia.
+ Tạm dừng làm thủ tục hải quan cho tàu biển xuất cảnh/nhập cảnh:
++ Trường hợp có yêu cầu bằng văn bản tạm dừng làm thủ tục hải quan từ các cơ quan chức năng khác như Cảng vụ hàng hải, Tòa án, cơ quan Công an, Biên phòng, cơ quan kiểm dịch, cơ quan Hải quan nơi làm thủ tục tàu biển nhập cảnh, xuất cảnh phối hợp với các cơ quan chức năng xử lý theo quy định.
++ Cơ quan hải quan tạm dừng làm thủ tục hải quan với tàu biển vận chuyển hàng hóa gây ô nhiễm môi trường của Hãng tàu không thực hiện việc vân chuyển hàng hóa lưu giữ tại cảng biển gây ô nhiễm môi trường, hàng hóa không đủ điều kiện tập kết tại cảng ra khỏi lãnh thổ Việt Nam theo quy định tại điểm c khoản 3 hoặc điểm c khoản 4 Điều 68 Nghị định 08/2015/NĐ-CP được sửa đổi bổ sung tại Nghị định 167/2025/NĐ-CP.</w:t>
      </w:r>
    </w:p>
    <w:p>
      <w:pPr>
        <w:shd w:val="clear" w:color="auto" w:fill="F2F6F9"/>
        <w:spacing w:after="0" w:before="120" w:lineRule="auto" w:line="276"/>
        <w:jc w:val="both"/>
      </w:pPr>
      <w:r>
        <w:rPr>
          <w:rFonts w:ascii="Times New Roman" w:hAnsi="Times New Roman" w:cs="Times New Roman" w:eastAsia="Times New Roman"/>
          <w:b w:val="true"/>
          <w:sz w:val="26"/>
        </w:rPr>
        <w:t>Thơì hạn cung cấp hồ sơ</w:t>
      </w:r>
    </w:p>
    <w:p>
      <w:pPr>
        <w:spacing w:after="0" w:before="0" w:lineRule="auto" w:line="276"/>
        <w:jc w:val="both"/>
      </w:pPr>
      <w:r>
        <w:rPr>
          <w:rFonts w:ascii="Times New Roman" w:hAnsi="Times New Roman" w:cs="Times New Roman" w:eastAsia="Times New Roman"/>
          <w:b w:val="false"/>
          <w:sz w:val="26"/>
        </w:rPr>
        <w:t>+ Tàu nhập cảnh: Chậm nhất 08 giờ trước khi tàu dự kiến cập cảng đối với hồ sơ tại điểm b, c, d, e nêu trên; chậm nhất 12 giờ trước khi tàu dự kiến cập cảng với hồ sơ tại điểm a, g, h, i nêu trên đối với tàu biển có hành trình dưới 5 ngày hoặc chậm nhất 24 giờ trước khi tàu dự kiến cập cảng đối với tàu biển có hành trình khác.
Thời hạn nộp hồ sơ sửa đổi bổ sung: các chứng từ quy định tại điểm a, b, c, d, e nêu trên được thực hiện trước hoặc ngay sau khi tàu dự kiến cập cảng. Các chứng từ quy định tại điểm g, h, i nêu trên được thực hiện trước khi đưa hàng hoá ra khỏi khu vực giám sát hải quan
+ Tàu xuất cảnh: Chậm nhất 01 giờ trước khi tàu dự kiến rời cảng.
Thời hạn sửa đổi bổ sung: Trong thời hạn 24 giờ kể từ khi tàu rời cảng
+ Tàu chuyển cảng: Phiếu chuyển hồ sơ tàu chuyển cảng và chứng từ liên quan của tàu nhập cảnh được thực hiện trước khi tàu dự kiến cập cảng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Giờ</w:t>
            </w:r>
          </w:p>
        </w:tc>
        <w:tc>
          <w:p/>
          <w:p>
            <w:pPr>
              <w:spacing w:after="0" w:before="0" w:lineRule="auto" w:line="276"/>
              <w:jc w:val="left"/>
            </w:pPr>
            <w:r>
              <w:rPr>
                <w:rFonts w:ascii="Times New Roman" w:hAnsi="Times New Roman" w:cs="Times New Roman" w:eastAsia="Times New Roman"/>
                <w:b w:val="false"/>
                <w:sz w:val="26"/>
              </w:rPr>
              <w:t>Phí : 20.000 Đồng</w:t>
              <w:t xml:space="preserve"> (Phí hải quan đối với hàng hóa xuất khẩu, nhập khẩu, phương tiện vận tải xuất cảnh, nhập cảnh:)</w:t>
            </w:r>
          </w:p>
          <w:p>
            <w:pPr>
              <w:spacing w:after="0" w:before="0" w:lineRule="auto" w:line="276"/>
              <w:jc w:val="left"/>
            </w:pPr>
            <w:r>
              <w:rPr>
                <w:rFonts w:ascii="Times New Roman" w:hAnsi="Times New Roman" w:cs="Times New Roman" w:eastAsia="Times New Roman"/>
                <w:b w:val="false"/>
                <w:sz w:val="26"/>
              </w:rPr>
              <w:t>Lệ phí : 500.000 Đồng</w:t>
              <w:t xml:space="preserve"> (Lệ phí đối với phương tiện quá cảnh đường thủy (tàu):)</w:t>
            </w:r>
          </w:p>
        </w:tc>
        <w:tc>
          <w:p/>
          <w:p>
            <w:pPr>
              <w:spacing w:after="0" w:before="0" w:lineRule="auto" w:line="276"/>
              <w:jc w:val="left"/>
            </w:pPr>
            <w:r>
              <w:rPr>
                <w:rFonts w:ascii="Times New Roman" w:hAnsi="Times New Roman" w:cs="Times New Roman" w:eastAsia="Times New Roman"/>
                <w:b w:val="false"/>
                <w:sz w:val="26"/>
              </w:rPr>
              <w:t>- Thủ công (trường hợp Cổng thông tin quốc gia gặp sự cố): trực tiếp tại trụ sở cơ quan hải quan nơi tàu xuất cảnh/nhập cảnh.
- Thời hạn cơ quan hải quan làm thủ tục hải quan đối với tàu liên vận nhập cảnh, xuất cảnh: Không quá 01 giờ kể từ khi người khai hải quan nộp, xuất trình hồ sơ hải quan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Giờ</w:t>
            </w:r>
          </w:p>
        </w:tc>
        <w:tc>
          <w:p/>
          <w:p>
            <w:pPr>
              <w:spacing w:after="0" w:before="0" w:lineRule="auto" w:line="276"/>
              <w:jc w:val="left"/>
            </w:pPr>
            <w:r>
              <w:rPr>
                <w:rFonts w:ascii="Times New Roman" w:hAnsi="Times New Roman" w:cs="Times New Roman" w:eastAsia="Times New Roman"/>
                <w:b w:val="false"/>
                <w:sz w:val="26"/>
              </w:rPr>
              <w:t>Phí : 20.000/tờ khai Đồng</w:t>
              <w:t xml:space="preserve"> (Lệ phí đối với phương tiện quá cảnh đường thủy (tàu): 500.000 đồng/phương tiện.)</w:t>
            </w:r>
          </w:p>
          <w:p>
            <w:pPr>
              <w:spacing w:after="0" w:before="0" w:lineRule="auto" w:line="276"/>
              <w:jc w:val="left"/>
            </w:pPr>
            <w:r>
              <w:rPr>
                <w:rFonts w:ascii="Times New Roman" w:hAnsi="Times New Roman" w:cs="Times New Roman" w:eastAsia="Times New Roman"/>
                <w:b w:val="false"/>
                <w:sz w:val="26"/>
              </w:rPr>
              <w:t>Lệ phí : 500.000/phương tiện Đồng</w:t>
              <w:t xml:space="preserve"> (Lệ phí đối với phương tiện quá cảnh đường thủy (tàu):)</w:t>
            </w:r>
          </w:p>
        </w:tc>
        <w:tc>
          <w:p/>
          <w:p>
            <w:pPr>
              <w:spacing w:after="0" w:before="0" w:lineRule="auto" w:line="276"/>
              <w:jc w:val="left"/>
            </w:pPr>
            <w:r>
              <w:rPr>
                <w:rFonts w:ascii="Times New Roman" w:hAnsi="Times New Roman" w:cs="Times New Roman" w:eastAsia="Times New Roman"/>
                <w:b w:val="false"/>
                <w:sz w:val="26"/>
              </w:rPr>
              <w:t>- Điện tử: Thông qua cổng thông tin một cửa quốc gia.
- Thời hạn cơ quan hải quan làm thủ tục hải quan đối với tàu liên vận nhập cảnh, xuất cảnh: Không quá 01 giờ kể từ khi người khai hải quan nộp, xuất trình hồ sơ hải quan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tàu biển nhập cảnh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chung</w:t>
            </w:r>
          </w:p>
        </w:tc>
        <w:tc>
          <w:p/>
          <w:p>
            <w:pPr>
              <w:spacing w:after="0" w:before="0" w:lineRule="auto" w:line="276"/>
              <w:jc w:val="left"/>
            </w:pPr>
            <w:r>
              <w:rPr>
                <w:rFonts w:ascii="Times New Roman" w:hAnsi="Times New Roman" w:cs="Times New Roman" w:eastAsia="Times New Roman"/>
                <w:b w:val="false"/>
                <w:sz w:val="26"/>
              </w:rPr>
              <w:t>Bnkhaichung.docx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 khai hàng hóa trường hợp tàu biển vận chuyển hàng hóa</w:t>
            </w:r>
          </w:p>
        </w:tc>
        <w:tc>
          <w:p/>
          <w:p>
            <w:pPr>
              <w:spacing w:after="0" w:before="0" w:lineRule="auto" w:line="276"/>
              <w:jc w:val="left"/>
            </w:pPr>
            <w:r>
              <w:rPr>
                <w:rFonts w:ascii="Times New Roman" w:hAnsi="Times New Roman" w:cs="Times New Roman" w:eastAsia="Times New Roman"/>
                <w:b w:val="false"/>
                <w:sz w:val="26"/>
              </w:rPr>
              <w:t>Bnkhaihngha.docx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Thông tin về vận đơn: vận đơn chủ (master bill of lading), vận đơn thứ cấp (house bill of lading) trong trường hợp tàu biển vận chuyển hàng hóa</w:t>
            </w:r>
          </w:p>
        </w:tc>
        <w:tc>
          <w:p/>
          <w:p>
            <w:pPr>
              <w:spacing w:after="0" w:before="0" w:lineRule="auto" w:line="276"/>
              <w:jc w:val="left"/>
            </w:pPr>
            <w:r>
              <w:rPr>
                <w:rFonts w:ascii="Times New Roman" w:hAnsi="Times New Roman" w:cs="Times New Roman" w:eastAsia="Times New Roman"/>
                <w:b w:val="false"/>
                <w:sz w:val="26"/>
              </w:rPr>
              <w:t>Bnkhaithngtinvnnthcp.docx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Danh sách thuyền viên</w:t>
            </w:r>
          </w:p>
        </w:tc>
        <w:tc>
          <w:p/>
          <w:p>
            <w:pPr>
              <w:spacing w:after="0" w:before="0" w:lineRule="auto" w:line="276"/>
              <w:jc w:val="left"/>
            </w:pPr>
            <w:r>
              <w:rPr>
                <w:rFonts w:ascii="Times New Roman" w:hAnsi="Times New Roman" w:cs="Times New Roman" w:eastAsia="Times New Roman"/>
                <w:b w:val="false"/>
                <w:sz w:val="26"/>
              </w:rPr>
              <w:t>Danhschthuynvin.docx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 khai hành lý thuyền viên, nhân viên làm việc trên tàu biển</w:t>
            </w:r>
          </w:p>
        </w:tc>
        <w:tc>
          <w:p/>
          <w:p>
            <w:pPr>
              <w:spacing w:after="0" w:before="0" w:lineRule="auto" w:line="276"/>
              <w:jc w:val="left"/>
            </w:pPr>
            <w:r>
              <w:rPr>
                <w:rFonts w:ascii="Times New Roman" w:hAnsi="Times New Roman" w:cs="Times New Roman" w:eastAsia="Times New Roman"/>
                <w:b w:val="false"/>
                <w:sz w:val="26"/>
              </w:rPr>
              <w:t>Bnkhaihnhlthuynvin.docx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 khai dự trữ của tàu</w:t>
            </w:r>
          </w:p>
        </w:tc>
        <w:tc>
          <w:p/>
          <w:p>
            <w:pPr>
              <w:spacing w:after="0" w:before="0" w:lineRule="auto" w:line="276"/>
              <w:jc w:val="left"/>
            </w:pPr>
            <w:r>
              <w:rPr>
                <w:rFonts w:ascii="Times New Roman" w:hAnsi="Times New Roman" w:cs="Times New Roman" w:eastAsia="Times New Roman"/>
                <w:b w:val="false"/>
                <w:sz w:val="26"/>
              </w:rPr>
              <w:t>Bnkhaidtrcatu.docx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Danh sách hành khách trong trường hợp tàu biển vận chuyển hành khách</w:t>
            </w:r>
          </w:p>
        </w:tc>
        <w:tc>
          <w:p/>
          <w:p>
            <w:pPr>
              <w:spacing w:after="0" w:before="0" w:lineRule="auto" w:line="276"/>
              <w:jc w:val="left"/>
            </w:pPr>
            <w:r>
              <w:rPr>
                <w:rFonts w:ascii="Times New Roman" w:hAnsi="Times New Roman" w:cs="Times New Roman" w:eastAsia="Times New Roman"/>
                <w:b w:val="false"/>
                <w:sz w:val="26"/>
              </w:rPr>
              <w:t>Danhschhnhkhch.docx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 khai hàng hóa nguy hiểm trong trường hợp tàu biển vận chuyển hàng hóa nguy hiểm</w:t>
            </w:r>
          </w:p>
        </w:tc>
        <w:tc>
          <w:p/>
          <w:p>
            <w:pPr>
              <w:spacing w:after="0" w:before="0" w:lineRule="auto" w:line="276"/>
              <w:jc w:val="left"/>
            </w:pPr>
            <w:r>
              <w:rPr>
                <w:rFonts w:ascii="Times New Roman" w:hAnsi="Times New Roman" w:cs="Times New Roman" w:eastAsia="Times New Roman"/>
                <w:b w:val="false"/>
                <w:sz w:val="26"/>
              </w:rPr>
              <w:t>Bnkhaihnghanguyhim.docx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tàu biển quá cảnh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Khi làm thủ tục nhập cảnh đối với tàu biển quá cảnh, người khai hải quan nộp hồ sơ hải quan theo quy định như với thủ tục nhập cảnh; khi làm thủ tục xuất cảnh, nếu có sự thay đổi về các chứng từ khi nhập cảnh, người khai hải quan nộp hồ sơ hải quan gồm các chứng từ đã có sự thay đổi so với lúc nhập cảnh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tàu biển xuất cảnh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chung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 khai hàng hóa trong trường hợp tàu biển vận chuyển hàng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Danh sách thuyền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 khai hành lý thuyền viên, nhân viên làm việc trên tàu biển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 khai dự trữ của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Danh sách hành khách trong trường hợp tàu biển vận chuyển hành khách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 khai hàng hóa nguy hiểm trong trường hợp tàu biển vận chuyển hàng hóa nguy hiểm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Hải quan cửa khẩu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hoàn thành thủ tục hải quan tàu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tc>
      </w:tr>
      <w:tr>
        <w:tc>
          <w:p/>
          <w:p>
            <w:pPr>
              <w:spacing w:after="0" w:before="0" w:lineRule="auto" w:line="276"/>
              <w:jc w:val="left"/>
            </w:pPr>
            <w:r>
              <w:rPr>
                <w:rFonts w:ascii="Times New Roman" w:hAnsi="Times New Roman" w:cs="Times New Roman" w:eastAsia="Times New Roman"/>
                <w:b w:val="false"/>
                <w:sz w:val="26"/>
              </w:rPr>
              <w:t>59/2018/NĐ-CP</w:t>
            </w:r>
          </w:p>
        </w:tc>
        <w:tc>
          <w:p/>
          <w:p>
            <w:pPr>
              <w:spacing w:after="0" w:before="0" w:lineRule="auto" w:line="276"/>
              <w:jc w:val="left"/>
            </w:pPr>
            <w:r>
              <w:rPr>
                <w:rFonts w:ascii="Times New Roman" w:hAnsi="Times New Roman" w:cs="Times New Roman" w:eastAsia="Times New Roman"/>
                <w:b w:val="false"/>
                <w:sz w:val="26"/>
              </w:rPr>
              <w:t>Nghị định 59/2018/NĐ-CP</w:t>
            </w:r>
          </w:p>
        </w:tc>
        <w:tc>
          <w:p/>
          <w:p>
            <w:pPr>
              <w:spacing w:after="0" w:before="0" w:lineRule="auto" w:line="276"/>
              <w:jc w:val="left"/>
            </w:pPr>
            <w:r>
              <w:rPr>
                <w:rFonts w:ascii="Times New Roman" w:hAnsi="Times New Roman" w:cs="Times New Roman" w:eastAsia="Times New Roman"/>
                <w:b w:val="false"/>
                <w:sz w:val="26"/>
              </w:rPr>
              <w:t>20-04-2018</w:t>
            </w:r>
          </w:p>
        </w:tc>
        <w:tc>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tc>
      </w:tr>
      <w:tr>
        <w:tc>
          <w:p/>
          <w:p>
            <w:pPr>
              <w:spacing w:after="0" w:before="0" w:lineRule="auto" w:line="276"/>
              <w:jc w:val="left"/>
            </w:pPr>
            <w:r>
              <w:rPr>
                <w:rFonts w:ascii="Times New Roman" w:hAnsi="Times New Roman" w:cs="Times New Roman" w:eastAsia="Times New Roman"/>
                <w:b w:val="false"/>
                <w:sz w:val="26"/>
              </w:rPr>
              <w:t>50/2018/TT-BTC</w:t>
            </w:r>
          </w:p>
        </w:tc>
        <w:tc>
          <w:p/>
          <w:p>
            <w:pPr>
              <w:spacing w:after="0" w:before="0" w:lineRule="auto" w:line="276"/>
              <w:jc w:val="left"/>
            </w:pPr>
            <w:r>
              <w:rPr>
                <w:rFonts w:ascii="Times New Roman" w:hAnsi="Times New Roman" w:cs="Times New Roman" w:eastAsia="Times New Roman"/>
                <w:b w:val="false"/>
                <w:sz w:val="26"/>
              </w:rPr>
              <w:t>Thông tư 50/2018/TT-BTC</w:t>
            </w:r>
          </w:p>
        </w:tc>
        <w:tc>
          <w:p/>
          <w:p>
            <w:pPr>
              <w:spacing w:after="0" w:before="0" w:lineRule="auto" w:line="276"/>
              <w:jc w:val="left"/>
            </w:pPr>
            <w:r>
              <w:rPr>
                <w:rFonts w:ascii="Times New Roman" w:hAnsi="Times New Roman" w:cs="Times New Roman" w:eastAsia="Times New Roman"/>
                <w:b w:val="false"/>
                <w:sz w:val="26"/>
              </w:rPr>
              <w:t>23-05-2018</w:t>
            </w:r>
          </w:p>
        </w:tc>
        <w:tc>
          <w:p/>
        </w:tc>
      </w:tr>
      <w:tr>
        <w:tc>
          <w:p/>
          <w:p>
            <w:pPr>
              <w:spacing w:after="0" w:before="0" w:lineRule="auto" w:line="276"/>
              <w:jc w:val="left"/>
            </w:pPr>
            <w:r>
              <w:rPr>
                <w:rFonts w:ascii="Times New Roman" w:hAnsi="Times New Roman" w:cs="Times New Roman" w:eastAsia="Times New Roman"/>
                <w:b w:val="false"/>
                <w:sz w:val="26"/>
              </w:rPr>
              <w:t>274/2016/TT-BTC</w:t>
            </w:r>
          </w:p>
        </w:tc>
        <w:tc>
          <w:p/>
          <w:p>
            <w:pPr>
              <w:spacing w:after="0" w:before="0" w:lineRule="auto" w:line="276"/>
              <w:jc w:val="left"/>
            </w:pPr>
            <w:r>
              <w:rPr>
                <w:rFonts w:ascii="Times New Roman" w:hAnsi="Times New Roman" w:cs="Times New Roman" w:eastAsia="Times New Roman"/>
                <w:b w:val="false"/>
                <w:sz w:val="26"/>
              </w:rPr>
              <w:t>Thông tư 274/2016/TT-BTC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167/2025</w:t>
            </w:r>
          </w:p>
        </w:tc>
        <w:tc>
          <w:p/>
          <w:p>
            <w:pPr>
              <w:spacing w:after="0" w:before="0" w:lineRule="auto" w:line="276"/>
              <w:jc w:val="left"/>
            </w:pPr>
            <w:r>
              <w:rPr>
                <w:rFonts w:ascii="Times New Roman" w:hAnsi="Times New Roman" w:cs="Times New Roman" w:eastAsia="Times New Roman"/>
                <w:b w:val="false"/>
                <w:sz w:val="26"/>
              </w:rPr>
              <w:t>Nghị định số 167/2025/NĐ-CP ngày 30/6/2025 của Chính phủ</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2026-05-05T15:52:50Z</dcterms:created>
  <dc:creator>Apache POI</dc:creator>
</cp:coreProperties>
</file>