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2219/QĐ-BNG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 hạn hộ chiếu ngoại giao, hộ chiếu công vụ (không gắn chip điện tử) tại cơ quan trong nước của Bộ Ngoại giao.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lãnh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Gia hạn hộ chiếu ngoại giao, hộ chiếu công vụ (không gắn chip điện tử) tại cơ quan trong nước của Bộ Ngoại giao</w:t>
      </w:r>
    </w:p>
    <w:p>
      <w:pPr>
        <w:spacing w:after="0" w:before="0" w:lineRule="auto" w:line="276"/>
        <w:jc w:val="both"/>
      </w:pPr>
      <w:r>
        <w:rPr>
          <w:rFonts w:ascii="Times New Roman" w:hAnsi="Times New Roman" w:cs="Times New Roman" w:eastAsia="Times New Roman"/>
          <w:b w:val="false"/>
          <w:sz w:val="26"/>
        </w:rPr>
        <w:t>Bước 1: Tổ chức, cá nhân chuẩn bị hồ sơ theo quy định và nộp hồ sơ tại Bộ phận tiếp nhận.</w:t>
      </w:r>
    </w:p>
    <w:p>
      <w:pPr>
        <w:spacing w:after="0" w:before="0" w:lineRule="auto" w:line="276"/>
        <w:jc w:val="both"/>
      </w:pPr>
      <w:r>
        <w:rPr>
          <w:rFonts w:ascii="Times New Roman" w:hAnsi="Times New Roman" w:cs="Times New Roman" w:eastAsia="Times New Roman"/>
          <w:b w:val="false"/>
          <w:sz w:val="26"/>
        </w:rPr>
        <w:t>Bước 2: Bộ phận tiếp nhận kiểm tra tính hợp lệ, đầy đủ của hồ sơ:
-	Trường hợp hồ sơ không thuộc phạm vi giải quyết, Bộ phận tiếp nhận hướng dẫn tổ chức, cá nhân liên hệ với cơ quan có thẩm quyền để giải quyết theo quy định. 
-	Trường hợp hồ sơ chưa hợp lệ, chưa đầy đủ, Bộ phận tiếp nhận hướng dẫn tổ chức, cá nhân bổ sung, hoàn thiện hồ sơ theo quy định và trả lại hồ sơ kèm “Phiếu yêu cầu bổ sung, hoàn thiện hồ sơ”. Việc yêu cầu bổ sung, hoàn thiện hồ sơ phải cụ thể, đầy đủ một lần để tổ chức, cá nhân bổ sung đầy đủ, chính xác. Thời hạn giải quyết TTHC được tính từ ngày hồ sơ được bổ sung, hoàn thiện đầy đủ theo quy định.
-	Trường hợp hồ sơ không đủ điều kiện giải quyết theo quy định, Bộ phận tiếp nhận từ chối nhận hồ sơ và trả lại hồ sơ kèm “Phiếu từ chối tiếp nhận giải quyết hồ sơ” cho tổ chức, cá nhân.
-	Trường hợp hồ sơ hợp lệ, đủ điều kiện giải quyết, Bộ phận tiếp nhận tiến hành nhận hồ sơ, in “Giấy tiếp nhận hồ sơ và hẹn trả kết quả” và chuyển hồ sơ đến Đơn vị chuyên môn để giải quyết theo thẩm quyền.</w:t>
      </w:r>
    </w:p>
    <w:p>
      <w:pPr>
        <w:spacing w:after="0" w:before="0" w:lineRule="auto" w:line="276"/>
        <w:jc w:val="both"/>
      </w:pPr>
      <w:r>
        <w:rPr>
          <w:rFonts w:ascii="Times New Roman" w:hAnsi="Times New Roman" w:cs="Times New Roman" w:eastAsia="Times New Roman"/>
          <w:b w:val="false"/>
          <w:sz w:val="26"/>
        </w:rPr>
        <w:t>Bước 3: Đơn vị chuyên môn giải quyết và trả kết quả cho Bộ phận tiếp nhận theo quy định: 
-	Trường hợp hồ sơ phải bổ sung, hoàn thiện theo quy định, Đơn vị chuyên môn phải thông báo bằng văn bản, ghi rõ lý do, nội dung cần bổ sung theo mẫu “Phiếu yêu cầu bổ sung, hoàn thiện hồ sơ” để gửi cho tổ chức, cá nhân thông qua Bộ phận tiếp nhận. Việc yêu cầu bổ sung, hoàn thiện hồ sơ chỉ được thực hiện một (01) lần. Thời hạn giải quyết TTHC được tính lại từ đầu, sau khi nhận đầy đủ hồ sơ.
-	Trường hợp không thể trả kết quả đúng thời hạn hoặc hồ sơ phải xin ý kiến của cấp/cơ quan có thẩm quyền liên quan, Đơn vị chuyên môn phải thông báo bằng văn bản cho Bộ phận tiếp nhận và gửi văn bản xin lỗi tổ chức, cá nhân, trong đó ghi rõ lý do quá hạn và thời gian sẽ trả kết quả theo mẫu “Phiếu xin lỗi và hẹn lại ngày trả kết quả”. Việc hẹn lại ngày trả kết quả được thực hiện không quá một (01) lần.
-	Trường hợp hồ sơ không đủ điều kiện giải quyết, Đơn vị chuyên môn trả lại hồ sơ, kèm văn bản nêu rõ lý do không giải quyết hồ sơ theo mẫu “Phiếu từ chối tiếp nhận giải quyết hồ sơ” để gửi cho tổ chức, cá nhân thông qua Bộ phận tiếp nhận.
-	Trường hợp hồ sơ đủ điều kiện giải quyết, Đơn vị chuyên môn giải quyết và trả kết quả cho Bộ phận tiếp nhận đúng thời gian quy định.</w:t>
      </w:r>
    </w:p>
    <w:p>
      <w:pPr>
        <w:spacing w:after="0" w:before="0" w:lineRule="auto" w:line="276"/>
        <w:jc w:val="both"/>
      </w:pPr>
      <w:r>
        <w:rPr>
          <w:rFonts w:ascii="Times New Roman" w:hAnsi="Times New Roman" w:cs="Times New Roman" w:eastAsia="Times New Roman"/>
          <w:b w:val="false"/>
          <w:sz w:val="26"/>
        </w:rPr>
        <w:t>Bước 4: Sau khi nhận kết quả giải quyết TTHC từ Đơn vị chuyên môn, Bộ phận tiếp nhận kiểm tra lại các thông tin và trả kết quả cho tổ chức, cá nhân. 
Trường hợp hồ sơ không đủ điều kiện giải quyết, Bộ phận tiếp nhận giải thích rõ cho tổ chức, cá nhân về lý do từ chối giải quyết hồ sơ theo nội dung trong “Phiếu từ chối tiếp nhận giải quyết hồ sơ” của Đơn vị chuyên môn.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Không có Đồng</w:t>
              <w:t xml:space="preserve"> (Gia hạn hộ chiếu)</w:t>
            </w:r>
          </w:p>
        </w:tc>
        <w:tc>
          <w:p/>
          <w:p>
            <w:pPr>
              <w:spacing w:after="0" w:before="0" w:lineRule="auto" w:line="276"/>
              <w:jc w:val="left"/>
            </w:pPr>
            <w:r>
              <w:rPr>
                <w:rFonts w:ascii="Times New Roman" w:hAnsi="Times New Roman" w:cs="Times New Roman" w:eastAsia="Times New Roman"/>
                <w:b w:val="false"/>
                <w:sz w:val="26"/>
              </w:rPr>
              <w:t>-	Trực tiếp nộp hồ sơ và nhận kết quả tại Bộ phận tiếp nhận.
-	Cơ quan ngoại vụ địa phương trực tiếp hoặc thông qua dịch vụ bưu chính công ích để chuyển hồ sơ kèm theo lệ phí và nhận kết quả tại Cơ quan cấp hộ chiếu ở trong nước. Cơ quan ngoại vụ địa phương sử dụng dịch vụ bưu chính công ích theo hướng dẫn của Bộ Ngoại giao.
-	Qua môi trường điện tử trong trường hợp cơ sở hạ tầng kỹ thuật tại        Cơ quan cấp hộ chiếu ở trong nước của Bộ Ngoại giao cho phép (bao gồm việc kết nối với Cơ sở dữ liệu quốc gia về dân cư). 
- Đối với hồ sơ nộp tại Bộ phận tiếp nhận: không quá 05 ngày làm việc,             kể từ ngày nhận đầy đủ hồ sơ hợp lệ.
	- Đối với hồ sơ nộp qua Cơ quan ngoại vụ:  
	+ Trong thời hạn không quá 02 ngày làm việc kể từ ngày nhận đủ hồ sơ hợp lệ, Cơ quan ngoại vụ gửi hồ sơ cho Bộ phận tiếp nhận qua dịch vụ bưu chính công ích của VNPost.
	+ Trong thời hạn không quá 03 ngày làm việc kể từ ngày nhận đầy đủ hồ sơ hợp lệ, Bộ phận tiếp nhận chuyển hồ sơ cho Đơn vị chuyên môn giải quyết và trả kết quả cho Cơ quan ngoại vụ.  
	+ Sau khi nhận được kết quả từ Bộ phận tiếp nhận, Cơ quan ngoại vụ trả kết quả cho tổ chức, cá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Gia hạn hộ chiếu ngoại giao, hộ chiếu công vụ (không gắn chip điện tử) tại cơ quan trong nước của Bộ Ngoại giao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đề nghị cấp, gia hạn hộ chiếu ngoại giao, hộ chiếu công vụ và công hàm đề nghị phía nước ngoài cấp thị thực (không cần dán ảnh). (theo Mẫu 01/2023/LS-XNC ban hành kèm theo Thông tư số 06/2023/TT-BNG ngày 26/12/2023 của Bộ trưởng Bộ Ngoại giao hoặc tờ khai điện tử                  (có mã vạch) được in từ Cổng dịch vụ công của Bộ Ngoại giao tại địa chỉ http://dichvucong.mofa.gov.vn)</w:t>
            </w:r>
          </w:p>
        </w:tc>
        <w:tc>
          <w:p/>
          <w:p>
            <w:pPr>
              <w:spacing w:after="0" w:before="0" w:lineRule="auto" w:line="276"/>
              <w:jc w:val="left"/>
            </w:pPr>
            <w:r>
              <w:rPr>
                <w:rFonts w:ascii="Times New Roman" w:hAnsi="Times New Roman" w:cs="Times New Roman" w:eastAsia="Times New Roman"/>
                <w:b w:val="false"/>
                <w:sz w:val="26"/>
              </w:rPr>
              <w:t>01-2023-LS-XNC.docx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- 01 bản chính văn bản cử hoặc cho phép cán bộ, công chức, viên chức quản lý, sỹ quan, quân nhân chuyên nghiệp đi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Hộ chiếu ngoại giao hoặc hộ chiếu công vụ còn giá trị sử dụng dưới 01 năm và chưa được gia hạn. - Giấy giới thiệu của cơ quan, tổ chức đối với trường hợp người đại diện nộp thay và xuất trình giấy tờ tùy thân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Số lượng hồ sơ: Một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Lãnh sự - Bộ Ngoại giao, Sở Ngoại vụ Thành phố Hồ Chí Minh - Bộ Ngoại giao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Ngoại giao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Cục Lãnh sự, Bộ Ngoại giao, số 40 phố Trần Phú, quận Ba Đình, TP. Hà Nội.  -	Sở Ngoại vụ thành phố Hồ Chí Minh, Bộ Ngoại giao, số 6 Alexandre De Rhodes, Quận 1, TP.HCM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Hộ chiếu ngoại giao, hộ chiếu công vụ (không gắn chip điện tử) được gia hạn từ 01 – 03 năm.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49/2019/QH14</w:t>
            </w:r>
          </w:p>
        </w:tc>
        <w:tc>
          <w:p/>
          <w:p>
            <w:pPr>
              <w:spacing w:after="0" w:before="0" w:lineRule="auto" w:line="276"/>
              <w:jc w:val="left"/>
            </w:pPr>
            <w:r>
              <w:rPr>
                <w:rFonts w:ascii="Times New Roman" w:hAnsi="Times New Roman" w:cs="Times New Roman" w:eastAsia="Times New Roman"/>
                <w:b w:val="false"/>
                <w:sz w:val="26"/>
              </w:rPr>
              <w:t>Luật 49/2019/QH14</w:t>
            </w:r>
          </w:p>
        </w:tc>
        <w:tc>
          <w:p/>
          <w:p>
            <w:pPr>
              <w:spacing w:after="0" w:before="0" w:lineRule="auto" w:line="276"/>
              <w:jc w:val="left"/>
            </w:pPr>
            <w:r>
              <w:rPr>
                <w:rFonts w:ascii="Times New Roman" w:hAnsi="Times New Roman" w:cs="Times New Roman" w:eastAsia="Times New Roman"/>
                <w:b w:val="false"/>
                <w:sz w:val="26"/>
              </w:rPr>
              <w:t>22-11-2019</w:t>
            </w:r>
          </w:p>
        </w:tc>
        <w:tc>
          <w:p/>
        </w:tc>
      </w:tr>
      <w:tr>
        <w:tc>
          <w:p/>
          <w:p>
            <w:pPr>
              <w:spacing w:after="0" w:before="0" w:lineRule="auto" w:line="276"/>
              <w:jc w:val="left"/>
            </w:pPr>
            <w:r>
              <w:rPr>
                <w:rFonts w:ascii="Times New Roman" w:hAnsi="Times New Roman" w:cs="Times New Roman" w:eastAsia="Times New Roman"/>
                <w:b w:val="false"/>
                <w:sz w:val="26"/>
              </w:rPr>
              <w:t>04/2020/TT-BNG</w:t>
            </w:r>
          </w:p>
        </w:tc>
        <w:tc>
          <w:p/>
          <w:p>
            <w:pPr>
              <w:spacing w:after="0" w:before="0" w:lineRule="auto" w:line="276"/>
              <w:jc w:val="left"/>
            </w:pPr>
            <w:r>
              <w:rPr>
                <w:rFonts w:ascii="Times New Roman" w:hAnsi="Times New Roman" w:cs="Times New Roman" w:eastAsia="Times New Roman"/>
                <w:b w:val="false"/>
                <w:sz w:val="26"/>
              </w:rPr>
              <w:t>Thông tư 04/2020/TT-BNG</w:t>
            </w:r>
          </w:p>
        </w:tc>
        <w:tc>
          <w:p/>
          <w:p>
            <w:pPr>
              <w:spacing w:after="0" w:before="0" w:lineRule="auto" w:line="276"/>
              <w:jc w:val="left"/>
            </w:pPr>
            <w:r>
              <w:rPr>
                <w:rFonts w:ascii="Times New Roman" w:hAnsi="Times New Roman" w:cs="Times New Roman" w:eastAsia="Times New Roman"/>
                <w:b w:val="false"/>
                <w:sz w:val="26"/>
              </w:rPr>
              <w:t>25-09-2020</w:t>
            </w:r>
          </w:p>
        </w:tc>
        <w:tc>
          <w:p/>
        </w:tc>
      </w:tr>
      <w:tr>
        <w:tc>
          <w:p/>
          <w:p>
            <w:pPr>
              <w:spacing w:after="0" w:before="0" w:lineRule="auto" w:line="276"/>
              <w:jc w:val="left"/>
            </w:pPr>
            <w:r>
              <w:rPr>
                <w:rFonts w:ascii="Times New Roman" w:hAnsi="Times New Roman" w:cs="Times New Roman" w:eastAsia="Times New Roman"/>
                <w:b w:val="false"/>
                <w:sz w:val="26"/>
              </w:rPr>
              <w:t>Thông tư 06/2023/TT-BNG</w:t>
            </w:r>
          </w:p>
        </w:tc>
        <w:tc>
          <w:p/>
          <w:p>
            <w:pPr>
              <w:spacing w:after="0" w:before="0" w:lineRule="auto" w:line="276"/>
              <w:jc w:val="left"/>
            </w:pPr>
            <w:r>
              <w:rPr>
                <w:rFonts w:ascii="Times New Roman" w:hAnsi="Times New Roman" w:cs="Times New Roman" w:eastAsia="Times New Roman"/>
                <w:b w:val="false"/>
                <w:sz w:val="26"/>
              </w:rPr>
              <w:t>Thông tư 06/2023/TT-BNG sửa đổi, bổ sung một số điều của Thông tư số 01/2011/TT-BNG ngày 20 tháng 6 năm 2011 của Bộ Ngoại giao Quy định thủ tục cấp giấy phép nhập cảnh thi hài, hài cốt, tro cốt về Việt Nam; Thông tư số 02/2011/TT-BNG ngày 27 tháng 6 năm 2011 của Bộ Ngoại giao Hướng dẫn thủ tục đăng ký công dân Việt Nam ở nước ngoài; Thông tư số 04/2020/TT-BNG ngày 25 tháng 9 năm 2020 Hướng dẫn việc cấp, gia hạn, hủy giá trị sử dụng hộ chiếu ngoại giao, hộ chiếu công vụ và cấp công hàm đề nghị phía nước ngoài cấp thị thực.</w:t>
            </w:r>
          </w:p>
        </w:tc>
        <w:tc>
          <w:p/>
          <w:p>
            <w:pPr>
              <w:spacing w:after="0" w:before="0" w:lineRule="auto" w:line="276"/>
              <w:jc w:val="left"/>
            </w:pPr>
            <w:r>
              <w:rPr>
                <w:rFonts w:ascii="Times New Roman" w:hAnsi="Times New Roman" w:cs="Times New Roman" w:eastAsia="Times New Roman"/>
                <w:b w:val="false"/>
                <w:sz w:val="26"/>
              </w:rPr>
              <w:t>26-12-2023</w:t>
            </w:r>
          </w:p>
        </w:tc>
        <w:tc>
          <w:p/>
          <w:p>
            <w:pPr>
              <w:spacing w:after="0" w:before="0" w:lineRule="auto" w:line="276"/>
              <w:jc w:val="left"/>
            </w:pPr>
            <w:r>
              <w:rPr>
                <w:rFonts w:ascii="Times New Roman" w:hAnsi="Times New Roman" w:cs="Times New Roman" w:eastAsia="Times New Roman"/>
                <w:b w:val="false"/>
                <w:sz w:val="26"/>
              </w:rPr>
              <w:t>Bộ Ngoại giao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Cơ quan, người có thẩm quyền cử người mang hộ chiếu ngoại giao, hộ chiếu công vụ đi công tác nước ngoài: quy định tại Điều 11 Luật Xuất cảnh, nhập cảnh của công dân Việt Nam năm 2019; sửa đổi, bổ sung năm 2023.
- Văn bản cử hoặc cho phép cán bộ, công chức, viên chức quản lý, sỹ quan, quân nhân chuyên nghiệp đi nước ngoài: quy định tại Điều 4 Thông tư số 04/2020/TT-BNG ngày 25/9/2020 của Bộ trưởng Bộ Ngoại giao hướng dẫn việc cấp, gia hạn, hủy giá trị sử dụng hộ chiếu ngoại giao, hộ chiếu công vụ và cấp công hàm đề nghị phía nước ngoài cấp thị thực. 
- Văn bản ủy quyền cho người đứng đầu đơn vị trực thuộc trong việc cử hoặc cho phép đi công tác nước ngoài: quy định tại Điều 5 Thông tư số 04/2020/TT-BNG ngày 25/9/2020 của Bộ trưởng Bộ Ngoại giao hướng dẫn việc cấp, gia hạn, hủy giá trị sử dụng hộ chiếu ngoại giao, hộ chiếu công vụ và cấp công hàm đề nghị phía nước ngoài cấp thị thực. 
- Người thuộc diện được cấp hộ chiếu ngoại giao, hộ chiếu công vụ: quy định tại các Điều 8 và 9 của Luật Xuất cảnh, nhập cảnh của công dân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gia hạn hộ chiếu ngoại giao, công vụ; gia hạn hộ chiếu; hộ chiếu ngoại giao; hộ chiếu công vụ</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2026-05-27T17:49:20Z</dcterms:created>
  <dc:creator>Apache POI</dc:creator>
</cp:coreProperties>
</file>