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sức khỏe định kỳ của người lái xe ô tô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cá nhân, đơn vị có nhu cầu khám sức khỏe định kỳ đến các cơ sở khám sức khỏe để tổ chức khám sức khỏe.</w:t>
      </w:r>
    </w:p>
    <w:p>
      <w:pPr>
        <w:spacing w:after="0" w:before="0" w:lineRule="auto" w:line="276"/>
        <w:jc w:val="both"/>
      </w:pPr>
      <w:r>
        <w:rPr>
          <w:rFonts w:ascii="Times New Roman" w:hAnsi="Times New Roman" w:cs="Times New Roman" w:eastAsia="Times New Roman"/>
          <w:b w:val="false"/>
          <w:sz w:val="26"/>
        </w:rPr>
        <w:t>Bước 2: Khi cơ sở khám sức khỏe triển khai khám chữa bệnh định kỳ theo hợp đồng, các cơ sở đã ký hợp đồng cần xuất trình Hồ sơ sức khỏe (Đối với khám sức khỏe tập trung). Đối với trường hợp khám sức khỏe đơn lẻ: Đối tượng khám sức khỏe cần xuất trình thêm giấy giới thiệu của cơ quan, tổ chức đề nghị khám sức khoẻ định kỳ.</w:t>
      </w:r>
    </w:p>
    <w:p>
      <w:pPr>
        <w:spacing w:after="0" w:before="0" w:lineRule="auto" w:line="276"/>
        <w:jc w:val="both"/>
      </w:pPr>
      <w:r>
        <w:rPr>
          <w:rFonts w:ascii="Times New Roman" w:hAnsi="Times New Roman" w:cs="Times New Roman" w:eastAsia="Times New Roman"/>
          <w:b w:val="false"/>
          <w:sz w:val="26"/>
        </w:rPr>
        <w:t>Bước 3: Cơ sở khám sức khỏe căn cứ vào Hợp đồng khám sức khỏe định kỳ và đối với các nghề, công việc có tiêu chuẩn sức khỏe riêng, thì cơ sở khám sức khỏe phải thực hiện các quy định của tiêu chuẩn đó hiện hành để được thực hiện khám sức khỏe.</w:t>
      </w:r>
    </w:p>
    <w:p>
      <w:pPr>
        <w:spacing w:after="0" w:before="0" w:lineRule="auto" w:line="276"/>
        <w:jc w:val="both"/>
      </w:pPr>
      <w:r>
        <w:rPr>
          <w:rFonts w:ascii="Times New Roman" w:hAnsi="Times New Roman" w:cs="Times New Roman" w:eastAsia="Times New Roman"/>
          <w:b w:val="false"/>
          <w:sz w:val="26"/>
        </w:rPr>
        <w:t>Bước 4: Kết luận và trả sổ khám sức khỏe định kỳ.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mức phí thu viện phí hiện hành)</w:t>
            </w:r>
          </w:p>
          <w:p>
            <w:pPr>
              <w:spacing w:after="0" w:before="0" w:lineRule="auto" w:line="276"/>
              <w:jc w:val="left"/>
            </w:pPr>
            <w:r>
              <w:rPr>
                <w:rFonts w:ascii="Times New Roman" w:hAnsi="Times New Roman" w:cs="Times New Roman" w:eastAsia="Times New Roman"/>
                <w:b w:val="false"/>
                <w:sz w:val="26"/>
              </w:rPr>
              <w:t xml:space="preserve">Phí :  </w:t>
              <w:t xml:space="preserve"> (Nộp phí theo mức phí thu viện phí hiện hành)</w:t>
            </w:r>
          </w:p>
        </w:tc>
        <w:tc>
          <w:p/>
          <w:p>
            <w:pPr>
              <w:spacing w:after="0" w:before="0" w:lineRule="auto" w:line="276"/>
              <w:jc w:val="left"/>
            </w:pPr>
            <w:r>
              <w:rPr>
                <w:rFonts w:ascii="Times New Roman" w:hAnsi="Times New Roman" w:cs="Times New Roman" w:eastAsia="Times New Roman"/>
                <w:b w:val="false"/>
                <w:sz w:val="26"/>
              </w:rPr>
              <w:t xml:space="preserve">20 ngày kể từ ngày nhận được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mức phí thu viện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mức phí thu viện phí hiện hành)</w:t>
            </w:r>
          </w:p>
        </w:tc>
        <w:tc>
          <w:p/>
          <w:p>
            <w:pPr>
              <w:spacing w:after="0" w:before="0" w:lineRule="auto" w:line="276"/>
              <w:jc w:val="left"/>
            </w:pPr>
            <w:r>
              <w:rPr>
                <w:rFonts w:ascii="Times New Roman" w:hAnsi="Times New Roman" w:cs="Times New Roman" w:eastAsia="Times New Roman"/>
                <w:b w:val="false"/>
                <w:sz w:val="26"/>
              </w:rPr>
              <w:t xml:space="preserve">20 ngày kể từ ngày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khám sức khỏe định kỳ theo mẫu quy định tại Phụ lục số 03 ban hành kèm theo Thông tư liên tịch số 24/2015/TTLT-BYT-BGTVT ngày 21/8/2015, có dán ảnh chân dung cỡ 4x6cm, chụp trên nền trắng trong thời gian không quá 6 tháng.</w:t>
            </w:r>
          </w:p>
        </w:tc>
        <w:tc>
          <w:p/>
          <w:p>
            <w:pPr>
              <w:spacing w:after="0" w:before="0" w:lineRule="auto" w:line="276"/>
              <w:jc w:val="left"/>
            </w:pPr>
            <w:r>
              <w:rPr>
                <w:rFonts w:ascii="Times New Roman" w:hAnsi="Times New Roman" w:cs="Times New Roman" w:eastAsia="Times New Roman"/>
                <w:b w:val="false"/>
                <w:sz w:val="26"/>
              </w:rPr>
              <w:t>TTLT 24_2015_QĐ4759_Phu luc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của cơ quan, tổ chức đề nghị khám sức khoẻ định kỳ (Đối với trường hợp khám sức khỏe đơn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khám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63/2012/NĐ-CP</w:t>
            </w:r>
          </w:p>
        </w:tc>
        <w:tc>
          <w:p/>
          <w:p>
            <w:pPr>
              <w:spacing w:after="0" w:before="0" w:lineRule="auto" w:line="276"/>
              <w:jc w:val="left"/>
            </w:pPr>
            <w:r>
              <w:rPr>
                <w:rFonts w:ascii="Times New Roman" w:hAnsi="Times New Roman" w:cs="Times New Roman" w:eastAsia="Times New Roman"/>
                <w:b w:val="false"/>
                <w:sz w:val="26"/>
              </w:rPr>
              <w:t>Nghị định 63/2012/NĐ-CP -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31-08-2012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14/2013/TT-BYT</w:t>
            </w:r>
          </w:p>
        </w:tc>
        <w:tc>
          <w:p/>
          <w:p>
            <w:pPr>
              <w:spacing w:after="0" w:before="0" w:lineRule="auto" w:line="276"/>
              <w:jc w:val="left"/>
            </w:pPr>
            <w:r>
              <w:rPr>
                <w:rFonts w:ascii="Times New Roman" w:hAnsi="Times New Roman" w:cs="Times New Roman" w:eastAsia="Times New Roman"/>
                <w:b w:val="false"/>
                <w:sz w:val="26"/>
              </w:rPr>
              <w:t>Thông tư 14/2013/TT-BYT Hướng dẫn khám sức khỏe</w:t>
            </w:r>
          </w:p>
        </w:tc>
        <w:tc>
          <w:p/>
          <w:p>
            <w:pPr>
              <w:spacing w:after="0" w:before="0" w:lineRule="auto" w:line="276"/>
              <w:jc w:val="left"/>
            </w:pPr>
            <w:r>
              <w:rPr>
                <w:rFonts w:ascii="Times New Roman" w:hAnsi="Times New Roman" w:cs="Times New Roman" w:eastAsia="Times New Roman"/>
                <w:b w:val="false"/>
                <w:sz w:val="26"/>
              </w:rPr>
              <w:t>06-05-2013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107/2012/NĐ-CP</w:t>
            </w:r>
          </w:p>
        </w:tc>
        <w:tc>
          <w:p/>
          <w:p>
            <w:pPr>
              <w:spacing w:after="0" w:before="0" w:lineRule="auto" w:line="276"/>
              <w:jc w:val="left"/>
            </w:pPr>
            <w:r>
              <w:rPr>
                <w:rFonts w:ascii="Times New Roman" w:hAnsi="Times New Roman" w:cs="Times New Roman" w:eastAsia="Times New Roman"/>
                <w:b w:val="false"/>
                <w:sz w:val="26"/>
              </w:rPr>
              <w:t>Nghị định 107/2012/NĐ-CP - Quy định chức năng, nhiệm vụ, quyền hạn và cơ cấu tổ chức của Bộ Giao thông vận tải</w:t>
            </w:r>
          </w:p>
        </w:tc>
        <w:tc>
          <w:p/>
          <w:p>
            <w:pPr>
              <w:spacing w:after="0" w:before="0" w:lineRule="auto" w:line="276"/>
              <w:jc w:val="left"/>
            </w:pPr>
            <w:r>
              <w:rPr>
                <w:rFonts w:ascii="Times New Roman" w:hAnsi="Times New Roman" w:cs="Times New Roman" w:eastAsia="Times New Roman"/>
                <w:b w:val="false"/>
                <w:sz w:val="26"/>
              </w:rPr>
              <w:t>20-12-2012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24/2015/TTLT-BYT-BGTVT</w:t>
            </w:r>
          </w:p>
        </w:tc>
        <w:tc>
          <w:p/>
          <w:p>
            <w:pPr>
              <w:spacing w:after="0" w:before="0" w:lineRule="auto" w:line="276"/>
              <w:jc w:val="left"/>
            </w:pPr>
            <w:r>
              <w:rPr>
                <w:rFonts w:ascii="Times New Roman" w:hAnsi="Times New Roman" w:cs="Times New Roman" w:eastAsia="Times New Roman"/>
                <w:b w:val="false"/>
                <w:sz w:val="26"/>
              </w:rPr>
              <w:t>Thông tư liên tịch 24/2015/TTLT-BYT-BGTVT - Quy định về tiêu chuẩn sức khỏe của người lái xe, việc khám sức khỏe định kỳ đối với người lái xe ô tô và quy định về cơ sở y tế khám sức khoẻ cho người lái xe</w:t>
            </w:r>
          </w:p>
        </w:tc>
        <w:tc>
          <w:p/>
          <w:p>
            <w:pPr>
              <w:spacing w:after="0" w:before="0" w:lineRule="auto" w:line="276"/>
              <w:jc w:val="left"/>
            </w:pPr>
            <w:r>
              <w:rPr>
                <w:rFonts w:ascii="Times New Roman" w:hAnsi="Times New Roman" w:cs="Times New Roman" w:eastAsia="Times New Roman"/>
                <w:b w:val="false"/>
                <w:sz w:val="26"/>
              </w:rPr>
              <w:t>21-08-2015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2026-05-01T10:34:16Z</dcterms:created>
  <dc:creator>Apache POI</dc:creator>
</cp:coreProperties>
</file>