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1.009122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2298/QĐ-UBND-ĐT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có thời hạn đối với công trình, nhà ở riêng lẻ (công trình cấp III, cấp IV)</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nộp hồ sơ tại Trung tâm Phục vụ hành chính công cấp xã
Bước 2: Trung tâm Phục vụ hành chính công cấp xã tiếp nhận hồ sơ; kiểm tra hồ sơ; ghi giấy biên nhận đối với trường hợp hồ sơ đáp ứng theo quy định hoặc hướng dẫn để chủ đầu tư hoàn thiện hồ sơ đối với trường hợp hồ sơ không đáp ứng theo quy định. Sau đó chuyển hồ sơ cho Phòng chuyên môn. 
Bước 3: Phòng chuyên môn tham mưu xử lý hồ sơ và trình UBND cấp xã quyết định việc cấp giấy phép xây dựng có thời hạn công trình, nhà ở riêng lẻ; chuyển kết quả cho Trung tâm Phục vụ hành chính công cấp xã để trả cho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 Đối với công trình: 100.000 đồng/giấy phép </w:t>
            </w:r>
          </w:p>
          <w:p>
            <w:pPr>
              <w:spacing w:after="0" w:before="0" w:lineRule="auto" w:line="276"/>
              <w:jc w:val="left"/>
            </w:pPr>
            <w:r>
              <w:rPr>
                <w:rFonts w:ascii="Times New Roman" w:hAnsi="Times New Roman" w:cs="Times New Roman" w:eastAsia="Times New Roman"/>
                <w:b w:val="false"/>
                <w:sz w:val="26"/>
              </w:rPr>
              <w:t xml:space="preserve">Phí : + Đối với nhà ở riêng lẻ tại đô thị:  50.000 đồng/giấy phép </w:t>
            </w:r>
          </w:p>
        </w:tc>
        <w:tc>
          <w:p/>
          <w:p>
            <w:pPr>
              <w:spacing w:after="0" w:before="0" w:lineRule="auto" w:line="276"/>
              <w:jc w:val="left"/>
            </w:pPr>
            <w:r>
              <w:rPr>
                <w:rFonts w:ascii="Times New Roman" w:hAnsi="Times New Roman" w:cs="Times New Roman" w:eastAsia="Times New Roman"/>
                <w:b w:val="false"/>
                <w:sz w:val="26"/>
              </w:rPr>
              <w:t>+ Đối với công trình: Không quá 15 ngày kể từ ngày nhận đủ hồ sơ hợp lệ. 
+ Đối với nhà ở riêng lẻ tại đô thị: Không quá 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 Đối với nhà ở riêng lẻ tại đô thị:  50.000 đồng/giấy phép </w:t>
            </w:r>
          </w:p>
          <w:p>
            <w:pPr>
              <w:spacing w:after="0" w:before="0" w:lineRule="auto" w:line="276"/>
              <w:jc w:val="left"/>
            </w:pPr>
            <w:r>
              <w:rPr>
                <w:rFonts w:ascii="Times New Roman" w:hAnsi="Times New Roman" w:cs="Times New Roman" w:eastAsia="Times New Roman"/>
                <w:b w:val="false"/>
                <w:sz w:val="26"/>
              </w:rPr>
              <w:t xml:space="preserve">Phí : + Đối với công trình: 100.000 đồng/giấy phép </w:t>
            </w:r>
          </w:p>
        </w:tc>
        <w:tc>
          <w:p/>
          <w:p>
            <w:pPr>
              <w:spacing w:after="0" w:before="0" w:lineRule="auto" w:line="276"/>
              <w:jc w:val="left"/>
            </w:pPr>
            <w:r>
              <w:rPr>
                <w:rFonts w:ascii="Times New Roman" w:hAnsi="Times New Roman" w:cs="Times New Roman" w:eastAsia="Times New Roman"/>
                <w:b w:val="false"/>
                <w:sz w:val="26"/>
              </w:rPr>
              <w:t>+ Đối với công trình: Không quá 15 ngày kể từ ngày nhận đủ hồ sơ hợp lệ. 
+ Đối với nhà ở riêng lẻ tại đô thị: Không quá 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 Đối với công trình: 100.000 đồng/giấy phép </w:t>
            </w:r>
          </w:p>
          <w:p>
            <w:pPr>
              <w:spacing w:after="0" w:before="0" w:lineRule="auto" w:line="276"/>
              <w:jc w:val="left"/>
            </w:pPr>
            <w:r>
              <w:rPr>
                <w:rFonts w:ascii="Times New Roman" w:hAnsi="Times New Roman" w:cs="Times New Roman" w:eastAsia="Times New Roman"/>
                <w:b w:val="false"/>
                <w:sz w:val="26"/>
              </w:rPr>
              <w:t xml:space="preserve">Phí : + Đối với nhà ở riêng lẻ tại đô thị:  50.000 đồng/giấy phép </w:t>
            </w:r>
          </w:p>
        </w:tc>
        <w:tc>
          <w:p/>
          <w:p>
            <w:pPr>
              <w:spacing w:after="0" w:before="0" w:lineRule="auto" w:line="276"/>
              <w:jc w:val="left"/>
            </w:pPr>
            <w:r>
              <w:rPr>
                <w:rFonts w:ascii="Times New Roman" w:hAnsi="Times New Roman" w:cs="Times New Roman" w:eastAsia="Times New Roman"/>
                <w:b w:val="false"/>
                <w:sz w:val="26"/>
              </w:rPr>
              <w:t>+ Đối với công trình: Không quá 15 ngày kể từ ngày nhận đủ hồ sơ hợp lệ. 
+ Đối với nhà ở riêng lẻ tại đô thị: Không quá 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công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xây dựng có thời hạn theo mẫu;</w:t>
            </w:r>
          </w:p>
        </w:tc>
        <w:tc>
          <w:p/>
          <w:p>
            <w:pPr>
              <w:spacing w:after="0" w:before="0" w:lineRule="auto" w:line="276"/>
              <w:jc w:val="left"/>
            </w:pPr>
            <w:r>
              <w:rPr>
                <w:rFonts w:ascii="Times New Roman" w:hAnsi="Times New Roman" w:cs="Times New Roman" w:eastAsia="Times New Roman"/>
                <w:b w:val="false"/>
                <w:sz w:val="26"/>
              </w:rPr>
              <w:t>MAU 01-Cap phep xay dung co thoi han su dung cho cong trinh.doc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được công chứng hoặc chứng thực một trong những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Hai bộ bản vẽ thiết kế, mỗi bộ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mặt bằng vị trí công trình trên lô đất tỷ lệ 1/100 - 1/500,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các mặt bằng, các mặt đứng và mặt cắt chủ yếu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dự án,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Tùy từng trường hợp phải bổ sung: Bản sao có chứng thực chứng chỉ hành nghề của chủ nhiệm, chủ trì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nhà ở riêng lẻ tại đô thị:</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xây dựng có thời hạn theo mẫu;</w:t>
            </w:r>
          </w:p>
        </w:tc>
        <w:tc>
          <w:p/>
          <w:p>
            <w:pPr>
              <w:spacing w:after="0" w:before="0" w:lineRule="auto" w:line="276"/>
              <w:jc w:val="left"/>
            </w:pPr>
            <w:r>
              <w:rPr>
                <w:rFonts w:ascii="Times New Roman" w:hAnsi="Times New Roman" w:cs="Times New Roman" w:eastAsia="Times New Roman"/>
                <w:b w:val="false"/>
                <w:sz w:val="26"/>
              </w:rPr>
              <w:t>Mau 2-Cap giay phep xay dung co thoi han su dung cho nha o rieng le.doc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được công chứng hoặc chứng thực một trong những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tệp tin chứa bản chụp chính hai bộ bản vẽ thiết kế, mỗi bộ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vẽ mặt bằng công trình trên lô đất tỷ lệ 1/50 - 1/500,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các tầng, các mặt đứng và mặt cắt chính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tỷ lệ 1/50 - 1/200 và mặt cắt móng tỷ lệ 1/50, kèm theo sơ đồ đấu nối hệ thống thoát nước mưa, xử lý nước thải, cấp nước, cấp điện, thông tin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thiết kế xây dựng của công trình đã được cơ quan chuyên môn về xây dựng thẩm định, các bản vẽ thiết kế quy định tại nêu trên là bản sao hoặc tệp tin chứa bản chụp các bản vẽ thiết kế xây dựng đã được cơ quan chuyên môn về xây dựng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chen có tầng hầm, ngoài các tài liệu quy định tại Khoản 1, 2, 3 Điều 11 Thông tư số 15/2016/TT-BXD, hồ sơ còn phải bổ sung bản sao hoặc tệp tin chứa bản chụp chính văn bản chấp thuận biện pháp thi công móng của chủ đầu tư đảm bảo an toàn cho công trình và công trình lân cận.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dựng có công trình liền kề phải có bản cam kết của chủ đầu tư bảo đảm an toàn đối với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phải bổ sung: Bản sao có chứng thực chứng chỉ hành nghề của chủ nhiệm, chủ trì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sửa chữa, cải tạo: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xây dựng có thời hạn theo mẫu;</w:t>
            </w:r>
          </w:p>
        </w:tc>
        <w:tc>
          <w:p/>
          <w:p>
            <w:pPr>
              <w:spacing w:after="0" w:before="0" w:lineRule="auto" w:line="276"/>
              <w:jc w:val="left"/>
            </w:pPr>
            <w:r>
              <w:rPr>
                <w:rFonts w:ascii="Times New Roman" w:hAnsi="Times New Roman" w:cs="Times New Roman" w:eastAsia="Times New Roman"/>
                <w:b w:val="false"/>
                <w:sz w:val="26"/>
              </w:rPr>
              <w:t>Mau 3-Cap phep xay dung co thoi han su dung cho truong hop sua chua, cai tao.doc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tệp tin chứa bản chụp chính một trong những giấy tờ chứng minh về quyền sở hữu, quản lý, sử dụng công trình, nhà ở theo quy định của pháp luật hoặc bản sao giấy phép xây dựng đã được cơ quan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tệp tin chứa bản chụp chính bản vẽ hiện trạng của bộ phận, hạng Mục công trình sửa chữa, cải tạo đã được phê duyệt theo quy định có tỷ lệ tương ứng với tỷ lệ các bản vẽ của hồ sơ đề nghị cấp phép sửa chữa, cải tạo và ảnh chụp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Đối với các công trình di tích lịch sử, văn hóa và danh lam, thắng cảnh đã được xếp hạng, thì phải có bản sao hoặc tệp tin chứa bản chụp chính văn bản chấp thuận của cơ quan quản lý nhà nước có thẩm quyền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phải bổ sung: Bản sao có chứng thực chứng chỉ hành nghề của chủ nhiệm, chủ trì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có thời hạn hoặc văn bản trả lời đối với trường hợp không đủ điều kiện để cấp giấy phép xây dựng có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53/2017/NĐ-CP</w:t>
            </w:r>
          </w:p>
        </w:tc>
        <w:tc>
          <w:p/>
          <w:p>
            <w:pPr>
              <w:spacing w:after="0" w:before="0" w:lineRule="auto" w:line="276"/>
              <w:jc w:val="left"/>
            </w:pPr>
            <w:r>
              <w:rPr>
                <w:rFonts w:ascii="Times New Roman" w:hAnsi="Times New Roman" w:cs="Times New Roman" w:eastAsia="Times New Roman"/>
                <w:b w:val="false"/>
                <w:sz w:val="26"/>
              </w:rPr>
              <w:t>Nghị định 53/2017/NĐ-CP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57/2016/NQ-HĐND</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lệ phí cấp giấy phép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08-12-2016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85/2020/NĐ-CP</w:t>
            </w:r>
          </w:p>
        </w:tc>
        <w:tc>
          <w:p/>
          <w:p>
            <w:pPr>
              <w:spacing w:after="0" w:before="0" w:lineRule="auto" w:line="276"/>
              <w:jc w:val="left"/>
            </w:pPr>
            <w:r>
              <w:rPr>
                <w:rFonts w:ascii="Times New Roman" w:hAnsi="Times New Roman" w:cs="Times New Roman" w:eastAsia="Times New Roman"/>
                <w:b w:val="false"/>
                <w:sz w:val="26"/>
              </w:rPr>
              <w:t>Nghị định 85/2020/NĐ-CP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40/2019/QH14</w:t>
            </w:r>
          </w:p>
        </w:tc>
        <w:tc>
          <w:p/>
          <w:p>
            <w:pPr>
              <w:spacing w:after="0" w:before="0" w:lineRule="auto" w:line="276"/>
              <w:jc w:val="left"/>
            </w:pPr>
            <w:r>
              <w:rPr>
                <w:rFonts w:ascii="Times New Roman" w:hAnsi="Times New Roman" w:cs="Times New Roman" w:eastAsia="Times New Roman"/>
                <w:b w:val="false"/>
                <w:sz w:val="26"/>
              </w:rPr>
              <w:t>Luật 40/2019/QH14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06/2021/NĐ-CP</w:t>
            </w:r>
          </w:p>
        </w:tc>
        <w:tc>
          <w:p/>
          <w:p>
            <w:pPr>
              <w:spacing w:after="0" w:before="0" w:lineRule="auto" w:line="276"/>
              <w:jc w:val="left"/>
            </w:pPr>
            <w:r>
              <w:rPr>
                <w:rFonts w:ascii="Times New Roman" w:hAnsi="Times New Roman" w:cs="Times New Roman" w:eastAsia="Times New Roman"/>
                <w:b w:val="false"/>
                <w:sz w:val="26"/>
              </w:rPr>
              <w:t>Nghị định 06/2021/NĐ-CP</w:t>
            </w:r>
          </w:p>
        </w:tc>
        <w:tc>
          <w:p/>
          <w:p>
            <w:pPr>
              <w:spacing w:after="0" w:before="0" w:lineRule="auto" w:line="276"/>
              <w:jc w:val="left"/>
            </w:pPr>
            <w:r>
              <w:rPr>
                <w:rFonts w:ascii="Times New Roman" w:hAnsi="Times New Roman" w:cs="Times New Roman" w:eastAsia="Times New Roman"/>
                <w:b w:val="false"/>
                <w:sz w:val="26"/>
              </w:rPr>
              <w:t>26-01-2021</w:t>
            </w:r>
          </w:p>
        </w:tc>
        <w:tc>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72/2020/QH14</w:t>
            </w:r>
          </w:p>
        </w:tc>
        <w:tc>
          <w:p/>
          <w:p>
            <w:pPr>
              <w:spacing w:after="0" w:before="0" w:lineRule="auto" w:line="276"/>
              <w:jc w:val="left"/>
            </w:pPr>
            <w:r>
              <w:rPr>
                <w:rFonts w:ascii="Times New Roman" w:hAnsi="Times New Roman" w:cs="Times New Roman" w:eastAsia="Times New Roman"/>
                <w:b w:val="false"/>
                <w:sz w:val="26"/>
              </w:rPr>
              <w:t>17-11-2020</w:t>
            </w:r>
          </w:p>
        </w:tc>
        <w:tc>
          <w:p/>
        </w:tc>
      </w:tr>
      <w:tr>
        <w:tc>
          <w:p/>
          <w:p>
            <w:pPr>
              <w:spacing w:after="0" w:before="0" w:lineRule="auto" w:line="276"/>
              <w:jc w:val="left"/>
            </w:pPr>
            <w:r>
              <w:rPr>
                <w:rFonts w:ascii="Times New Roman" w:hAnsi="Times New Roman" w:cs="Times New Roman" w:eastAsia="Times New Roman"/>
                <w:b w:val="false"/>
                <w:sz w:val="26"/>
              </w:rPr>
              <w:t>38/2021/QĐ-UBND</w:t>
            </w:r>
          </w:p>
        </w:tc>
        <w:tc>
          <w:p/>
          <w:p>
            <w:pPr>
              <w:spacing w:after="0" w:before="0" w:lineRule="auto" w:line="276"/>
              <w:jc w:val="left"/>
            </w:pPr>
            <w:r>
              <w:rPr>
                <w:rFonts w:ascii="Times New Roman" w:hAnsi="Times New Roman" w:cs="Times New Roman" w:eastAsia="Times New Roman"/>
                <w:b w:val="false"/>
                <w:sz w:val="26"/>
              </w:rPr>
              <w:t>Quy định chi tiết một số nội dung về cấp giấy phép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10-12-2021</w:t>
            </w:r>
          </w:p>
        </w:tc>
        <w:tc>
          <w:p/>
          <w:p>
            <w:pPr>
              <w:spacing w:after="0" w:before="0" w:lineRule="auto" w:line="276"/>
              <w:jc w:val="left"/>
            </w:pPr>
            <w:r>
              <w:rPr>
                <w:rFonts w:ascii="Times New Roman" w:hAnsi="Times New Roman" w:cs="Times New Roman" w:eastAsia="Times New Roman"/>
                <w:b w:val="false"/>
                <w:sz w:val="26"/>
              </w:rPr>
              <w:t>UBND Thành phố Đà Nẵng</w:t>
            </w:r>
          </w:p>
        </w:tc>
      </w:tr>
      <w:tr>
        <w:tc>
          <w:p/>
          <w:p>
            <w:pPr>
              <w:spacing w:after="0" w:before="0" w:lineRule="auto" w:line="276"/>
              <w:jc w:val="left"/>
            </w:pPr>
            <w:r>
              <w:rPr>
                <w:rFonts w:ascii="Times New Roman" w:hAnsi="Times New Roman" w:cs="Times New Roman" w:eastAsia="Times New Roman"/>
                <w:b w:val="false"/>
                <w:sz w:val="26"/>
              </w:rPr>
              <w:t>16/2022/NĐ-CP</w:t>
            </w:r>
          </w:p>
        </w:tc>
        <w:tc>
          <w:p/>
          <w:p>
            <w:pPr>
              <w:spacing w:after="0" w:before="0" w:lineRule="auto" w:line="276"/>
              <w:jc w:val="left"/>
            </w:pPr>
            <w:r>
              <w:rPr>
                <w:rFonts w:ascii="Times New Roman" w:hAnsi="Times New Roman" w:cs="Times New Roman" w:eastAsia="Times New Roman"/>
                <w:b w:val="false"/>
                <w:sz w:val="26"/>
              </w:rPr>
              <w:t>Nghị định số 16/2022/NĐ-CP ngày 28 tháng 01 năm 2022 của Chính phủ quy định xử phạt vi phạm hành chính về xây dựng;</w:t>
            </w:r>
          </w:p>
        </w:tc>
        <w:tc>
          <w:p/>
          <w:p>
            <w:pPr>
              <w:spacing w:after="0" w:before="0" w:lineRule="auto" w:line="276"/>
              <w:jc w:val="left"/>
            </w:pPr>
            <w:r>
              <w:rPr>
                <w:rFonts w:ascii="Times New Roman" w:hAnsi="Times New Roman" w:cs="Times New Roman" w:eastAsia="Times New Roman"/>
                <w:b w:val="false"/>
                <w:sz w:val="26"/>
              </w:rPr>
              <w:t>28-01-2022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06/2021/TT-BXD</w:t>
            </w:r>
          </w:p>
        </w:tc>
        <w:tc>
          <w:p/>
          <w:p>
            <w:pPr>
              <w:spacing w:after="0" w:before="0" w:lineRule="auto" w:line="276"/>
              <w:jc w:val="left"/>
            </w:pPr>
            <w:r>
              <w:rPr>
                <w:rFonts w:ascii="Times New Roman" w:hAnsi="Times New Roman" w:cs="Times New Roman" w:eastAsia="Times New Roman"/>
                <w:b w:val="false"/>
                <w:sz w:val="26"/>
              </w:rPr>
              <w:t>Thông tư số 06/2021/TT-BXD</w:t>
            </w:r>
          </w:p>
        </w:tc>
        <w:tc>
          <w:p/>
          <w:p>
            <w:pPr>
              <w:spacing w:after="0" w:before="0" w:lineRule="auto" w:line="276"/>
              <w:jc w:val="left"/>
            </w:pPr>
            <w:r>
              <w:rPr>
                <w:rFonts w:ascii="Times New Roman" w:hAnsi="Times New Roman" w:cs="Times New Roman" w:eastAsia="Times New Roman"/>
                <w:b w:val="false"/>
                <w:sz w:val="26"/>
              </w:rPr>
              <w:t>30-06-2021</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Nghị định số 15/2021/NĐ-CP ngày 03/3/2021 của Chính phủ quy định chi tiết một số nội dung về 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Thuộc khu vực có quy hoạch phân khu xây dựng, quy hoạch phân khu xây dựng khu chức năng hoặc quy hoạch chi tiết, quy hoạch chi tiết xây dựng khu chức năng đã được cơ quan nhà nước có thẩm quyền phê duyệt, công bố nhưng chưa thực hiện và chưa có quyết định thu hồi đất của cơ quan nhà nước có thẩm quyền;
- Phù hợp với quy mô công trình do Ủy ban nhân dân cấp tỉnh quy định cho từng khu vực và thời hạn tồn tại của công trình theo kế hoạch thực hiện quy hoạch phân khu xây dựng, quy hoạch phân khu xây dựng khu chức năng hoặc quy hoạch chi tiết, quy hoạch chi tiết xây dựng khu chức năng đã được cơ quan nhà nước có thẩm quyền phê duyệt;
- Phù hợp với mục đích sử dụng đất được xác định tại giấy tờ hợp pháp về đất đai của người đề nghị cấp giấy phép xây dựng có thời hạn;
- Khi hết thời hạn tồn tại của công trình ghi trong giấy phép xây dựng có thời hạn và cơ quan nhà nước có thẩm quyền có quyết định thu hồi đất, chủ đầu tư cam kết tự phá dỡ công trình, nếu không tự phá dỡ thì bị cưỡng chế và chịu mọi chi phí cho việc phá dỡ. Trường hợp quá thời hạn này mà quy hoạch xây dựng chưa thực hiện được, chủ đầu tư được tiếp tục sử dụng công trình cho đến khi cơ quan nhà nước có thẩm quyền có quyết định thu hồi đất. Việc hỗ trợ khi phá dỡ được thực hiện theo quy định của pháp luật về đất đai.
- Công trình xây dựng được cấp giấy phép xây dựng có thời hạn phải đáp ứng điều kiện quy định tại khoản 1 Điều 94 của Luật Xây dựng năm 2014 được sửa đổi, bổ sung tại khoản 33 Điều 1 của Luật số 62/2020/QH14 và các khoản 3, 4 và 5 Điều 91 của Luật Xây dựng năm 2014 được sửa đổi, bổ sung tại khoản 33 Điều 1 của Luật số 62/2020/QH14.
- Nhà ở riêng lẻ được cấp giấy phép xây dựng có thời hạn phải đáp ứng điều kiện quy định tại khoản 1 Điều 94 của Luật Xây dựng năm 2014 được sửa đổi, bổ sung tại khoản 33 Điều 1 của Luật số 62/2020/QH14 và các điểm b, c và d khoản 1 Điều 93 của của Luật Xây dựng năm 2014 được sửa đổi, bổ sung tại khoản 33 Điều 1 của Luật số 62/2020/QH14.
	- Đối với công trình xây dựng, nhà ở riêng lẻ được cấp giấy phép xây dựng có thời hạn, khi hết thời hạn tồn tại của công trình ghi trong giấy phép xây dựng mà quy hoạch xây dựng có điều chỉnh kéo dài kế hoạch thực hiện thì cơ quan đã cấp giấy phép xây dựng có trách nhiệm thông báo về việc gia hạn thời gian tồn tại của công trình. Trường hợp chủ đầu tư tiếp tục có nhu cầu xây dựng mới hoặc sửa chữa, cải tạo thì thực hiện cấp giấy phép xây dựng có thời hạn theo thời hạn của quy hoạch xây dựng điều chỉnh.
	- Đối với công trình xây dựng, nhà ở riêng lẻ thuộc trường hợp quy định tại điểm a khoản 1 Điều 94 của Luật Xây dựng năm 2014 được sửa đổi, bổ sung tại khoản 33 Điều 1 của Luật số 62/2020/QH14 và đã có kế hoạch sử dụng đất hàng năm của cấp huyện thì không cấp giấy phép xây dựng có thời hạn cho việc xây dựng mới mà chỉ cấp giấy phép xây dựng có thời hạn để sửa chữa, cải tạo.
- Trường hợp sau 03 năm kể từ ngày công bố kế hoạch sử dụng đất hàng năm của cấp huyện, cơ quan nhà nước có thẩm quyền chưa có quyết định thu hồi đất hoặc chưa cho phép chuyển mục đích sử dụng đất theo kế hoạch sử dụng đất hàng năm của cấp huyện đã được công bố mà không điều chỉnh, hủy bỏ hoặc có điều chỉnh, hủy bỏ nhưng không công bố việc điều chỉnh, hủy bỏ kế hoạch sử dụng đất hàng năm của cấp huyện thì người sử dụng đất được quyền đề nghị cấp giấy phép xây dựng có thời hạn theo quy định tại khoản 2 và khoản 3 Điều 94 của Luật Xây dựng năm 2014 được sửa đổi, bổ sung tại khoản 33 Điều 1 của Luật số 62/2020/QH14.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2026-05-04T10:41:40Z</dcterms:created>
  <dc:creator>Apache POI</dc:creator>
</cp:coreProperties>
</file>