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1.009141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mới/cấp lại Giấy chứng nhận số nhà</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nộp hồ sơ tại Trung tâm phục vụ hành chính công cấp xã.
Bước 2:  Trung tâm phục vụ hành chính công cấp xã kiểm tra tính hợp lệ và đầy đủ của các giấy tờ có trong hồ sơ và chuyển cho Phòng Kinh tế hoặc Phòng Kinh tế, Hạ tầng và Đô thị thuộc UBND cấp xã.
Bước 3: Công chức chuyên môn kiểm tra, xử lý hồ sơ, trình lãnh đạo UBND cấp xã phê duyệt Giấy chứng nhận số nhà và chuyển cho Trung tâm phục vụ hành chính công cấp xã trả cho công dân,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Hồ sơ được nộp trực tiếp tại Trung tâm phục vụ hành chính công cấp xã; Nộp trực tuyến; Nộp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Hồ sơ được nộp trực tiếp tại Trung tâm phục vụ hành chính công cấp xã; Nộp trực tuyến; Nộp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p>
            <w:pPr>
              <w:spacing w:after="0" w:before="0" w:lineRule="auto" w:line="276"/>
              <w:jc w:val="left"/>
            </w:pPr>
            <w:r>
              <w:rPr>
                <w:rFonts w:ascii="Times New Roman" w:hAnsi="Times New Roman" w:cs="Times New Roman" w:eastAsia="Times New Roman"/>
                <w:b w:val="false"/>
                <w:sz w:val="26"/>
              </w:rPr>
              <w:t>Hồ sơ được nộp trực tiếp tại Trung tâm phục vụ hành chính công cấp xã; Nộp trực tuyến; Nộp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số nhà</w:t>
            </w:r>
          </w:p>
        </w:tc>
        <w:tc>
          <w:p/>
          <w:p>
            <w:pPr>
              <w:spacing w:after="0" w:before="0" w:lineRule="auto" w:line="276"/>
              <w:jc w:val="left"/>
            </w:pPr>
            <w:r>
              <w:rPr>
                <w:rFonts w:ascii="Times New Roman" w:hAnsi="Times New Roman" w:cs="Times New Roman" w:eastAsia="Times New Roman"/>
                <w:b w:val="false"/>
                <w:sz w:val="26"/>
              </w:rPr>
              <w:t>DDNcapcaplaiGCNbiensonha.doc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biển số nhà.</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08/2024/TT-BXD</w:t>
            </w:r>
          </w:p>
        </w:tc>
        <w:tc>
          <w:p/>
          <w:p>
            <w:pPr>
              <w:spacing w:after="0" w:before="0" w:lineRule="auto" w:line="276"/>
              <w:jc w:val="left"/>
            </w:pPr>
            <w:r>
              <w:rPr>
                <w:rFonts w:ascii="Times New Roman" w:hAnsi="Times New Roman" w:cs="Times New Roman" w:eastAsia="Times New Roman"/>
                <w:b w:val="false"/>
                <w:sz w:val="26"/>
              </w:rPr>
              <w:t>Quy định đánh số và gắn biển số nhà, công trình xây dựng do Bộ trưởng Bộ Xây dựng ban hành</w:t>
            </w:r>
          </w:p>
        </w:tc>
        <w:tc>
          <w:p/>
          <w:p>
            <w:pPr>
              <w:spacing w:after="0" w:before="0" w:lineRule="auto" w:line="276"/>
              <w:jc w:val="left"/>
            </w:pPr>
            <w:r>
              <w:rPr>
                <w:rFonts w:ascii="Times New Roman" w:hAnsi="Times New Roman" w:cs="Times New Roman" w:eastAsia="Times New Roman"/>
                <w:b w:val="false"/>
                <w:sz w:val="26"/>
              </w:rPr>
              <w:t>30-08-2024</w:t>
            </w:r>
          </w:p>
        </w:tc>
        <w:tc>
          <w:p/>
        </w:tc>
      </w:tr>
      <w:tr>
        <w:tc>
          <w:p/>
          <w:p>
            <w:pPr>
              <w:spacing w:after="0" w:before="0" w:lineRule="auto" w:line="276"/>
              <w:jc w:val="left"/>
            </w:pPr>
            <w:r>
              <w:rPr>
                <w:rFonts w:ascii="Times New Roman" w:hAnsi="Times New Roman" w:cs="Times New Roman" w:eastAsia="Times New Roman"/>
                <w:b w:val="false"/>
                <w:sz w:val="26"/>
              </w:rPr>
              <w:t>2298/QĐ-UBND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và thủ tục  hành chính thuộc phạm vi chức năng quản lý nhà nước của  Sở Xây dựng thành phố Đà Nẵng</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2026-05-23T16:38:49Z</dcterms:created>
  <dc:creator>Apache POI</dc:creator>
</cp:coreProperties>
</file>