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1.009160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thi công lắp đặt công trình ngầm, công trình trên mặt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Giao thông vận tải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hoàn thiện hồ sơ theo hướng dẫn;
Bước 2:  Bộ phận Tiếp nhận và trả kết quả thuộc UBND cấp xã tiếp nhận hồ sơ: kiểm tra tính hợp lệ và đầy đủ của các giấy tờ có trong hồ sơ, yêu cầu bổ sung, hoàn thiện nếu hồ sơ chưa đầy đủ, chưa hợp lệ và chuyển cho phòng Chuyên môn;
Bước 3: Công chức chuyên môn Phòng Chuyên môn thụ lý hồ sơ, kiểm tra trình lãnh đạo phòng, trình lãnh đạo UBND cấp xã ký và chuyển giấy phép cho Bộ phận Tiếp nhận và trả kết quả để giao cho cá nhân,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0 </w:t>
            </w:r>
          </w:p>
        </w:tc>
        <w:tc>
          <w:p/>
          <w:p>
            <w:pPr>
              <w:spacing w:after="0" w:before="0" w:lineRule="auto" w:line="276"/>
              <w:jc w:val="left"/>
            </w:pPr>
            <w:r>
              <w:rPr>
                <w:rFonts w:ascii="Times New Roman" w:hAnsi="Times New Roman" w:cs="Times New Roman" w:eastAsia="Times New Roman"/>
                <w:b w:val="false"/>
                <w:sz w:val="26"/>
              </w:rPr>
              <w:t>Hồ sơ được nộp trực tiếp tại Bộ phận Tiếp nhận và trả kết quả thuộc UBND cấp xã hoặc trực tuyến tại địa chỉ https://dichvucong.danang.gov.vn.
Hồ sơ được trả kết quả trực tiếp tại Bộ phận Tiếp nhận và trả kết quả thuộc UBND cấp xã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0 </w:t>
            </w:r>
          </w:p>
        </w:tc>
        <w:tc>
          <w:p/>
          <w:p>
            <w:pPr>
              <w:spacing w:after="0" w:before="0" w:lineRule="auto" w:line="276"/>
              <w:jc w:val="left"/>
            </w:pPr>
            <w:r>
              <w:rPr>
                <w:rFonts w:ascii="Times New Roman" w:hAnsi="Times New Roman" w:cs="Times New Roman" w:eastAsia="Times New Roman"/>
                <w:b w:val="false"/>
                <w:sz w:val="26"/>
              </w:rPr>
              <w:t>Hồ sơ được nộp trực tiếp tại Bộ phận Tiếp nhận và trả kết quả thuộc UBND cấp xã hoặc trực tuyến tại địa chỉ https://dichvucong.danang.gov.vn.
Hồ sơ được trả kết quả trực tiếp tại Bộ phận Tiếp nhận và trả kết quả thuộc UBND cấp xã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0 </w:t>
            </w:r>
          </w:p>
        </w:tc>
        <w:tc>
          <w:p/>
          <w:p>
            <w:pPr>
              <w:spacing w:after="0" w:before="0" w:lineRule="auto" w:line="276"/>
              <w:jc w:val="left"/>
            </w:pPr>
            <w:r>
              <w:rPr>
                <w:rFonts w:ascii="Times New Roman" w:hAnsi="Times New Roman" w:cs="Times New Roman" w:eastAsia="Times New Roman"/>
                <w:b w:val="false"/>
                <w:sz w:val="26"/>
              </w:rPr>
              <w:t>Hồ sơ được nộp trực tiếp tại Bộ phận Tiếp nhận và trả kết quả thuộc UBND cấp xã hoặc trực tuyến tại địa chỉ https://dichvucong.danang.gov.vn.
Hồ sơ được trả kết quả trực tiếp tại Bộ phận Tiếp nhận và trả kết quả thuộc UBND cấp xã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thi công của tổ chức, cá nhân thi công;</w:t>
            </w:r>
          </w:p>
        </w:tc>
        <w:tc>
          <w:p/>
          <w:p>
            <w:pPr>
              <w:spacing w:after="0" w:before="0" w:lineRule="auto" w:line="276"/>
              <w:jc w:val="left"/>
            </w:pPr>
            <w:r>
              <w:rPr>
                <w:rFonts w:ascii="Times New Roman" w:hAnsi="Times New Roman" w:cs="Times New Roman" w:eastAsia="Times New Roman"/>
                <w:b w:val="false"/>
                <w:sz w:val="26"/>
              </w:rPr>
              <w:t>Don de nghi cap phep thi cong cong trinh.doc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cam kết về việc tháo dỡ và di chuyển hoặc cải tạo công trình đã lắp đặt trả lại mặt bằng để Nhà nước xây dựng công trình công cộng hoặc nâng cấp mở rộng nền mặt đường; không yêu cầu bồi thường thiệt hại và chịu hoàn toàn trách nhiệm kinh phí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chấp thuận xây dựng công trình thiết yếu của cơ quan quản lý đường bộ có thẩm quyền (đối với thi công lắp đặt công trình thiết yếu)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Hồ sơ thiết kế kỹ thuật và thiết kế tổ chức thi công hoặc hồ sơ thiết kế kỹ thuật thi công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Biện pháp bảo đảm an toàn công trình giao thông đường bộ và các công trình hạ tầng kỹ khác hiện có trên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Biện pháp bảo đảm an toàn giao thông trong suốt thời gian thi công có xác nhận của Ban Quản lý dự án (Trường hợp các công trình đơn giản, không có thiết kế tổ chức thi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Báo cáo đánh giá tác động môi trường do Sở Tài nguyên và Môi trường thẩm định (đối với công trình quy định lập báo cáo đánh giá tác động môi trường) hoặc văn bản giải trình biện pháp đảm bảo vệ sinh môi trường (đối với công trình không quy định lập báo cáo đánh giá tác động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Hồ sơ thiết kế - dự toán hoàn trả mặt bằng theo nguyên trạng mặt bằng do cơ quan cấp phép thẩm định và phê duyệt đối với các công trình có chiều dài mặt bằng hoàn trả lớn hơn 10.5 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Hợp đồng xây lắp (nếu chủ đầu tư là pháp nhân có chức năng thi công và tự thi công thì không cần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10. Nộp tiền đặt cọc bằng 100% kinh phí hoàn trả mặt bằng nguyên trạng theo đơn giá dự toán được cấp có thẩm quyền phê duyệt tại cơ quan cấp giấy phép thi công. Khoản tiền này được hoàn trả lại sau khi đơn vị đã thi công hoàn thành công trình, nộp hồ sơ hoàn công cho cơ quan cấp phép và tự tổ chức hoàn trả mặt bằng sau 07 ngày kể từ khi thi công lắp đặt cấu kiện công trình dưới mặt đường, trong phần đất bảo trì, bảo vệ đường bộ và hành lang an toàn đường bộ hoàn thành. Nếu sau thời gian 07 ngày đơn vị được cấp giấy phép chưa triển khai công tác hoàn trả, cơ quan cấp giấy phép thi công được quyền sử dụng tiền đặt cọc để chỉ định đơn vị thi công hoàn trả mặt bằng theo nguyên trạng ban đầu và không chi trả lại cho đơn vị được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11. Riêng trường hợp các tuyến đường đang triển khai thi công để cải tạo, nâng cấp, sửa chữa hoặc đã hoàn thành nhưng chưa bàn giao các tổ chức cá nhân có nhu cầu thi công phải bổ sung thêm văn bản thống nhất của chủ đầu tư quản lý dự án cải tạo, nâng cấp, sữa chữa tuyến đường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35/2017/TT-BGTVT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50/2015/TT-BGTVT ngày 23 tháng 9 năm 2015 của Bộ trưởng Bộ Giao thông vận tải hướng dẫn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100/2013/NĐ-CP</w:t>
            </w:r>
          </w:p>
        </w:tc>
        <w:tc>
          <w:p/>
          <w:p>
            <w:pPr>
              <w:spacing w:after="0" w:before="0" w:lineRule="auto" w:line="276"/>
              <w:jc w:val="left"/>
            </w:pPr>
            <w:r>
              <w:rPr>
                <w:rFonts w:ascii="Times New Roman" w:hAnsi="Times New Roman" w:cs="Times New Roman" w:eastAsia="Times New Roman"/>
                <w:b w:val="false"/>
                <w:sz w:val="26"/>
              </w:rPr>
              <w:t>Nghị định số 100/2013/NĐ-CP</w:t>
            </w:r>
          </w:p>
        </w:tc>
        <w:tc>
          <w:p/>
          <w:p>
            <w:pPr>
              <w:spacing w:after="0" w:before="0" w:lineRule="auto" w:line="276"/>
              <w:jc w:val="left"/>
            </w:pPr>
            <w:r>
              <w:rPr>
                <w:rFonts w:ascii="Times New Roman" w:hAnsi="Times New Roman" w:cs="Times New Roman" w:eastAsia="Times New Roman"/>
                <w:b w:val="false"/>
                <w:sz w:val="26"/>
              </w:rPr>
              <w:t>03-09-2013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11/2010/NĐ-CP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24-02-2010</w:t>
            </w:r>
          </w:p>
        </w:tc>
        <w:tc>
          <w:p/>
        </w:tc>
      </w:tr>
      <w:tr>
        <w:tc>
          <w:p/>
          <w:p>
            <w:pPr>
              <w:spacing w:after="0" w:before="0" w:lineRule="auto" w:line="276"/>
              <w:jc w:val="left"/>
            </w:pPr>
            <w:r>
              <w:rPr>
                <w:rFonts w:ascii="Times New Roman" w:hAnsi="Times New Roman" w:cs="Times New Roman" w:eastAsia="Times New Roman"/>
                <w:b w:val="false"/>
                <w:sz w:val="26"/>
              </w:rPr>
              <w:t>50/2015/TT-BGTVT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23-09-2015</w:t>
            </w:r>
          </w:p>
        </w:tc>
        <w:tc>
          <w:p/>
        </w:tc>
      </w:tr>
      <w:tr>
        <w:tc>
          <w:p/>
          <w:p>
            <w:pPr>
              <w:spacing w:after="0" w:before="0" w:lineRule="auto" w:line="276"/>
              <w:jc w:val="left"/>
            </w:pPr>
            <w:r>
              <w:rPr>
                <w:rFonts w:ascii="Times New Roman" w:hAnsi="Times New Roman" w:cs="Times New Roman" w:eastAsia="Times New Roman"/>
                <w:b w:val="false"/>
                <w:sz w:val="26"/>
              </w:rPr>
              <w:t>05/2013/QĐ-UBND</w:t>
            </w:r>
          </w:p>
        </w:tc>
        <w:tc>
          <w:p/>
          <w:p>
            <w:pPr>
              <w:spacing w:after="0" w:before="0" w:lineRule="auto" w:line="276"/>
              <w:jc w:val="left"/>
            </w:pPr>
            <w:r>
              <w:rPr>
                <w:rFonts w:ascii="Times New Roman" w:hAnsi="Times New Roman" w:cs="Times New Roman" w:eastAsia="Times New Roman"/>
                <w:b w:val="false"/>
                <w:sz w:val="26"/>
              </w:rPr>
              <w:t>Quyết định số 05/2013/QĐ-UBND ngày 25/01/2013 của UBND thành phố Đà Nẵng về việc Ban hành Quy định thi công trên đường bộ đang khai thác thuộc địa bàn thành phố Đà Nẵng</w:t>
            </w:r>
          </w:p>
        </w:tc>
        <w:tc>
          <w:p/>
          <w:p>
            <w:pPr>
              <w:spacing w:after="0" w:before="0" w:lineRule="auto" w:line="276"/>
              <w:jc w:val="left"/>
            </w:pPr>
            <w:r>
              <w:rPr>
                <w:rFonts w:ascii="Times New Roman" w:hAnsi="Times New Roman" w:cs="Times New Roman" w:eastAsia="Times New Roman"/>
                <w:b w:val="false"/>
                <w:sz w:val="26"/>
              </w:rPr>
              <w:t>25-01-2013</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18/2015/QĐ-UBND</w:t>
            </w:r>
          </w:p>
        </w:tc>
        <w:tc>
          <w:p/>
          <w:p>
            <w:pPr>
              <w:spacing w:after="0" w:before="0" w:lineRule="auto" w:line="276"/>
              <w:jc w:val="left"/>
            </w:pPr>
            <w:r>
              <w:rPr>
                <w:rFonts w:ascii="Times New Roman" w:hAnsi="Times New Roman" w:cs="Times New Roman" w:eastAsia="Times New Roman"/>
                <w:b w:val="false"/>
                <w:sz w:val="26"/>
              </w:rPr>
              <w:t>Quyết định số 18/2015/QĐ-UBND ngày 27/7/2015 của UBND thành phố Đà Nẵng ban hành Quy định về hoàn trả kết cấu hạ tầng giao thông đường bộ đối với các dự án thi công trên đường bộ đang khai thác trên địa bàn thành phố Đà Nẵng.</w:t>
            </w:r>
          </w:p>
        </w:tc>
        <w:tc>
          <w:p/>
          <w:p>
            <w:pPr>
              <w:spacing w:after="0" w:before="0" w:lineRule="auto" w:line="276"/>
              <w:jc w:val="left"/>
            </w:pPr>
            <w:r>
              <w:rPr>
                <w:rFonts w:ascii="Times New Roman" w:hAnsi="Times New Roman" w:cs="Times New Roman" w:eastAsia="Times New Roman"/>
                <w:b w:val="false"/>
                <w:sz w:val="26"/>
              </w:rPr>
              <w:t>27-07-2015</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39/2021/TT-BGTVT</w:t>
            </w:r>
          </w:p>
        </w:tc>
        <w:tc>
          <w:p/>
          <w:p>
            <w:pPr>
              <w:spacing w:after="0" w:before="0" w:lineRule="auto" w:line="276"/>
              <w:jc w:val="left"/>
            </w:pPr>
            <w:r>
              <w:rPr>
                <w:rFonts w:ascii="Times New Roman" w:hAnsi="Times New Roman" w:cs="Times New Roman" w:eastAsia="Times New Roman"/>
                <w:b w:val="false"/>
                <w:sz w:val="26"/>
              </w:rPr>
              <w:t>Thông tư 39/2021/TT-BGTVT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06/2023/QĐ-UBND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thi công trên đường bộ đang khai thác thuộc địa bàn thành phố Đà Nẵng ban hành kèm theo Quyết định số 05/2013/QĐ-UBND của UBND thành phố Đà Nẵng.</w:t>
            </w:r>
          </w:p>
        </w:tc>
        <w:tc>
          <w:p/>
          <w:p>
            <w:pPr>
              <w:spacing w:after="0" w:before="0" w:lineRule="auto" w:line="276"/>
              <w:jc w:val="left"/>
            </w:pPr>
            <w:r>
              <w:rPr>
                <w:rFonts w:ascii="Times New Roman" w:hAnsi="Times New Roman" w:cs="Times New Roman" w:eastAsia="Times New Roman"/>
                <w:b w:val="false"/>
                <w:sz w:val="26"/>
              </w:rPr>
              <w:t>20-02-2023</w:t>
            </w:r>
          </w:p>
        </w:tc>
        <w:tc>
          <w:p/>
          <w:p>
            <w:pPr>
              <w:spacing w:after="0" w:before="0" w:lineRule="auto" w:line="276"/>
              <w:jc w:val="left"/>
            </w:pPr>
            <w:r>
              <w:rPr>
                <w:rFonts w:ascii="Times New Roman" w:hAnsi="Times New Roman" w:cs="Times New Roman" w:eastAsia="Times New Roman"/>
                <w:b w:val="false"/>
                <w:sz w:val="26"/>
              </w:rPr>
              <w:t>UBND Thành phố Đà Nẵng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2026-05-26T17:43:26Z</dcterms:created>
  <dc:creator>Apache POI</dc:creator>
</cp:coreProperties>
</file>