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gỗ trước khi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gỗ nộp 01 bộ hồ sơ đến cơ quan Kiểm lâm sở tại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lô hàng gỗ xuất khẩu và xác nhận bảng kê gỗ.
- Trong thời hạn 02 ngày làm việc kể từ ngày nhận được hồ sơ hợp lệ, cơ quan Kiểm lâm sở tại hoàn thành việc kiểm tra thực tế lô hàng gỗ xuất khẩu theo quy định tại khoản 6 Điều 9 Nghị định số 102/2020/NĐ-CP, được sửa đổi, bổ sung tại Điều 54 Nghị định số 42/2026/NĐ-CP và xác nhận bảng kê gỗ. Trường hợp không xác nhận, thông báo bằng văn bản và nêu rõ lý do.
- Kiểm tra lô hàng gỗ xuất khẩu:
+ Thời điểm kiểm tra: Trước khi xếp lô hàng gỗ vào phương tiện vận chuyển để xuất khẩu;
+ Địa điểm kiểm tra: Tại kho, bãi nơi cất giữ lô hàng gỗ theo đề nghị của chủ gỗ;
+ Nội dung kiểm tra: Đối chiếu hồ sơ do chủ gỗ lập với khối lượng, số lượng, quy cách, loài gỗ, nguồn gốc gỗ được kiểm tra; xác minh tính hợp pháp của lô hàng gỗ; lập biên bản kiểm tra theo Mẫu số 07 Phụ lục I ban hành kèm theo Nghị định này và xác nhận bảng kê gỗ;
+ Mức độ kiểm tra thực tế: Kiểm tra thực tế 20% lô hàng gỗ; trường hợp có thông tin vi phạm thì công chức Kiểm lâm báo cáo, đề xuất thủ trưởng cơ quan Kiểm lâm sở tại quyết định tăng tỷ lệ kiểm tra và gia hạn thời gian kiểm tra thêm 01 ngày làm việc. Thủ trưởng cơ quan Kiểm lâm phải chịu trách nhiệm trước pháp luật về quyết định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có thông tin vi phạm: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thông tin vi phạm: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có thông tin vi phạm: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thông tin vi phạm: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có thông tin vi phạm: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thông tin vi phạm: 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đề nghị xác nhận nguồn gốc gỗ xuất khẩu theo Mẫu số 04 Phụ lục I ban hành kèm theo Nghị định số 120/2024/NĐ-CP;</w:t>
            </w:r>
          </w:p>
        </w:tc>
        <w:tc>
          <w:p/>
          <w:p>
            <w:pPr>
              <w:spacing w:after="0" w:before="0" w:lineRule="auto" w:line="276"/>
              <w:jc w:val="left"/>
            </w:pPr>
            <w:r>
              <w:rPr>
                <w:rFonts w:ascii="Times New Roman" w:hAnsi="Times New Roman" w:cs="Times New Roman" w:eastAsia="Times New Roman"/>
                <w:b w:val="false"/>
                <w:sz w:val="26"/>
              </w:rPr>
              <w:t>Mu04xcnhnngungcg.docx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kê gỗ xuất khẩu theo Mẫu số 05 Phụ lục I ban hành kèm theo Nghị định số 120/2024/NĐ-CP hoặc Bảng kê sản phẩm gỗ xuất khẩu theo Mẫu số 06 Phụ lục I ban hành kèm theo Nghị định số 120/2024/NĐ-CP.</w:t>
            </w:r>
          </w:p>
        </w:tc>
        <w:tc>
          <w:p/>
          <w:p>
            <w:pPr>
              <w:spacing w:after="0" w:before="0" w:lineRule="auto" w:line="276"/>
              <w:jc w:val="left"/>
            </w:pPr>
            <w:r>
              <w:rPr>
                <w:rFonts w:ascii="Times New Roman" w:hAnsi="Times New Roman" w:cs="Times New Roman" w:eastAsia="Times New Roman"/>
                <w:b w:val="false"/>
                <w:sz w:val="26"/>
              </w:rPr>
              <w:t>Mus05-xcnhnngg.docx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gỗ nhập khẩu theo quy định tại Điều 7 Nghị định số 102/2020/NĐ-CP, được sửa đổi, bổ sung tại khoản 7 Điều 1 Nghị định số 120/2024/NĐ-CP hoặc bản sao hồ sơ nguồn gốc gỗ khai thác trong nước theo quy định của Bộ trưởng Bộ Nông nghiệp và Môi trường về quản lý lâm sản; xử lý lâm sản, thủy sản là tài sản được xác lập quyền sở hữu toàn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gỗ xuất khẩu, Bảng kê sản phẩm gỗ xuất khẩu được cơ quan Kiểm lâm sở tại xác nhận hoặc văn bản nêu rõ lý do từ chối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2026-04-30T06:55:27Z</dcterms:created>
  <dc:creator>Apache POI</dc:creator>
</cp:coreProperties>
</file>