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dân quân tập trung ở miền Bắc, du kích tập trung ở miền Nam (bao gồm cả lực lượng mật quốc phòng), đối tượng cư trú ở địa phương khác không còn lưu giữ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hoặc thân nhân đối tượng làm bản khai theo mẫu qui định, gửi cho UBND xã (phường) nơi sinh quán của đối tượng.</w:t>
      </w:r>
    </w:p>
    <w:p>
      <w:pPr>
        <w:spacing w:after="0" w:before="0" w:lineRule="auto" w:line="276"/>
        <w:jc w:val="both"/>
      </w:pPr>
      <w:r>
        <w:rPr>
          <w:rFonts w:ascii="Times New Roman" w:hAnsi="Times New Roman" w:cs="Times New Roman" w:eastAsia="Times New Roman"/>
          <w:b w:val="false"/>
          <w:sz w:val="26"/>
        </w:rPr>
        <w:t>UBND xã (phường) nơi sinh quán của đối tượng:
- Tiếp nhận hồ sơ, chuyển Trưởng thôn để tổ chức hội nghị liên tịch để xem xét , xác nhận cho đối tượng.
- Ban Chỉ huy quân sự xã, đề nghị Ban chấp hành Hội Cựu chiến binh họp xem xét, xác nhận đối tượng.
- Hội đồng chính sách xã, phường họp công khai xét duyệt đối với đối tượng do Ban chấp hành Hội Cựu chiến binh đã cho ý kiến bằng văn bản.
- Niêm yết danh sách đối tượng đã xét duyệt, sau 15 ngày nếu không có ý kiến thắc mắc, khiếu kiện của nhân dân thì tổng hợp, lập hồ sơ.
- Trong thời gian 45 ngày phải trả lời đối tượng (kèm theo văn bản) để địa phương nơi đối tượng đăng ký hộ khẩu thường trú xét duyệt và đề nghị hưởng chế độ.</w:t>
      </w:r>
    </w:p>
    <w:p>
      <w:pPr>
        <w:spacing w:after="0" w:before="0" w:lineRule="auto" w:line="276"/>
        <w:jc w:val="both"/>
      </w:pPr>
      <w:r>
        <w:rPr>
          <w:rFonts w:ascii="Times New Roman" w:hAnsi="Times New Roman" w:cs="Times New Roman" w:eastAsia="Times New Roman"/>
          <w:b w:val="false"/>
          <w:sz w:val="26"/>
        </w:rPr>
        <w:t>Uỷ ban nhân dân xã, phường nơi trú quán của đối tượng:
- Tiếp nhận hồ sơ, xét duyệt, tổng hợp danh sách và làm công văn đề nghị UBND huyện, quận (qua Ban chỉ huy quân sự huyện, quận).
- Theo dõi việc nhận và tổ chức chi trả cho đối tượng.</w:t>
      </w:r>
    </w:p>
    <w:p>
      <w:pPr>
        <w:spacing w:after="0" w:before="0" w:lineRule="auto" w:line="276"/>
        <w:jc w:val="both"/>
      </w:pPr>
      <w:r>
        <w:rPr>
          <w:rFonts w:ascii="Times New Roman" w:hAnsi="Times New Roman" w:cs="Times New Roman" w:eastAsia="Times New Roman"/>
          <w:b w:val="false"/>
          <w:sz w:val="26"/>
        </w:rPr>
        <w:t>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w:t>
      </w:r>
    </w:p>
    <w:p>
      <w:pPr>
        <w:spacing w:after="0" w:before="0" w:lineRule="auto" w:line="276"/>
        <w:jc w:val="both"/>
      </w:pPr>
      <w:r>
        <w:rPr>
          <w:rFonts w:ascii="Times New Roman" w:hAnsi="Times New Roman" w:cs="Times New Roman" w:eastAsia="Times New Roman"/>
          <w:b w:val="false"/>
          <w:sz w:val="26"/>
        </w:rPr>
        <w:t>UBND tỉnh (thành phố):
Chỉ đạo Bộ chỉ huy quân sự tỉnh (thành phố) phối hợp với các cơ quan chức năng tổ chức xét duyệt thẩm định, tổng hợp danh sách báo cáo Quân khu (qua Cục Chính trị).</w:t>
      </w:r>
    </w:p>
    <w:p>
      <w:pPr>
        <w:spacing w:after="0" w:before="0" w:lineRule="auto" w:line="276"/>
        <w:jc w:val="both"/>
      </w:pPr>
      <w:r>
        <w:rPr>
          <w:rFonts w:ascii="Times New Roman" w:hAnsi="Times New Roman" w:cs="Times New Roman" w:eastAsia="Times New Roman"/>
          <w:b w:val="false"/>
          <w:sz w:val="26"/>
        </w:rPr>
        <w:t>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 thuộc thẩm quyền quy định.</w:t>
      </w:r>
    </w:p>
    <w:p>
      <w:pPr>
        <w:spacing w:after="0" w:before="0" w:lineRule="auto" w:line="276"/>
        <w:jc w:val="both"/>
      </w:pPr>
      <w:r>
        <w:rPr>
          <w:rFonts w:ascii="Times New Roman" w:hAnsi="Times New Roman" w:cs="Times New Roman" w:eastAsia="Times New Roman"/>
          <w:b w:val="false"/>
          <w:sz w:val="26"/>
        </w:rPr>
        <w:t>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hoặc gửi hồ sơ đến UBND xã (phường) nơi sinh quán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w:t>
            </w:r>
          </w:p>
        </w:tc>
        <w:tc>
          <w:p/>
          <w:p>
            <w:pPr>
              <w:spacing w:after="0" w:before="0" w:lineRule="auto" w:line="276"/>
              <w:jc w:val="left"/>
            </w:pPr>
            <w:r>
              <w:rPr>
                <w:rFonts w:ascii="Times New Roman" w:hAnsi="Times New Roman" w:cs="Times New Roman" w:eastAsia="Times New Roman"/>
                <w:b w:val="false"/>
                <w:sz w:val="26"/>
              </w:rPr>
              <w:t>Mu3A-phlc1.docx</w:t>
            </w:r>
          </w:p>
          <w:p>
            <w:pPr>
              <w:spacing w:after="0" w:before="0" w:lineRule="auto" w:line="276"/>
              <w:jc w:val="left"/>
            </w:pPr>
            <w:r>
              <w:rPr>
                <w:rFonts w:ascii="Times New Roman" w:hAnsi="Times New Roman" w:cs="Times New Roman" w:eastAsia="Times New Roman"/>
                <w:b w:val="false"/>
                <w:sz w:val="26"/>
              </w:rPr>
              <w:t>Mu3B-phlc1.docx</w:t>
            </w:r>
          </w:p>
          <w:p>
            <w:pPr>
              <w:spacing w:after="0" w:before="0" w:lineRule="auto" w:line="276"/>
              <w:jc w:val="left"/>
            </w:pPr>
            <w:r>
              <w:rPr>
                <w:rFonts w:ascii="Times New Roman" w:hAnsi="Times New Roman" w:cs="Times New Roman" w:eastAsia="Times New Roman"/>
                <w:b w:val="false"/>
                <w:sz w:val="26"/>
              </w:rPr>
              <w:t>Mu4-Phlc1.docx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thân nhân (đối với đối tượng đã từ trần); Bản khai thân nhân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Mẫu 3B.doc</w:t>
            </w:r>
          </w:p>
          <w:p>
            <w:pPr>
              <w:spacing w:after="0" w:before="0" w:lineRule="auto" w:line="276"/>
              <w:jc w:val="left"/>
            </w:pPr>
            <w:r>
              <w:rPr>
                <w:rFonts w:ascii="Times New Roman" w:hAnsi="Times New Roman" w:cs="Times New Roman" w:eastAsia="Times New Roman"/>
                <w:b w:val="false"/>
                <w:sz w:val="26"/>
              </w:rPr>
              <w:t>Mẫu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 nơi sinh quán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Dân quân tập trung ở miền Bắc trong khoảng thời gian từ 8/1964 đến tháng 01/1973; du kích tập trung ở miền Nam (bao gồm cả du kích mật) trong khoảng thời gian từ tháng 7/1954 đến tháng 4/1975; lực lượng mật do các tổ chức Đảng, quân sự, quản lý, hoạt động trong khoảng thời gian từ tháng 7/1954 đến tháng 4/1975 ở chiến trường B, C, K chưa được hưởng chế độ một lần gắn với thời gian phục vụ.
Tiết c Điểm 1 Điều 1 Quyết định số 290/2005/QĐ-TTg ngày 08-11-2005 của Thủ tướng Chính phủ; Tiết 1.1, khoản 1 Mục III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
b, Đối tượng không áp dụng:
+ Dân quân tập trung ở miền Bắc tham gia sau ngày 27/01/1973, du kích tập trung ở miền Nam tham gia sau ngày 30/4/1975.
+ Người tham gia dân quân, du kích tập trung tiếp tục công tác, sau đó phát triển thành quân nhân, công nhân viên chức quốc phòng, hiện đang công tác có tham gia bảo hiểm xã hội hoặc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Tiết a, b Điểm 2 Điều 1 Quyết định số 290/2005/QĐ-TTg ngày 08-11-2005 của Thủ tướng Chính phủ; Tiết  1.2, khoản 1 Mục III Thông tư liên tịch số 191/2005/TTLT-BQP-BLĐTBXH-BTC ngày 07/12/2005 của Bộ Quốc phòng, Bộ Lao động Thương binh và Xã hội, Bộ Tài chính hướng dẫn thực hiện Quyết định số 290/2005/QĐ-TTg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2026-05-11T17:07:35Z</dcterms:created>
  <dc:creator>Apache POI</dc:creator>
</cp:coreProperties>
</file>