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1.009312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2267/QĐ-UBND-ĐT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Trích đo địa chính thửa đất, khu đất; Trích đo tài sản gắn liền với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sử dụng đất có nhu cầu trích đo thửa đất, khu đất nộp hồ sơ tại Bộ phận tiếp nhận và trả kết quả thuộc Văn phòng Đăng ký đất đai nếu là tổ chức, cơ sở tôn giáo; Bộ phận tiếp nhận và trả kết quả thuộc Văn phòng UBND quận, huyện nếu là hộ gia đình, cá nhân, cộng đồng dân cư.
Bộ phận tiếp nhận hồ sơ có trách nhiệm ghi đầy đủ thông tin vào Sổ tiếp nhận hồ sơ và trả kết quả, trao Phiếu tiếp nhận hồ sơ cho người nộp hồ sơ và chuyển hồ sơ đến Văn phòng Đăng ký đất đai. 
Đối với các trường hợp trích đo ngoài quy mô từng thửa đất/khu đất hoặc Trích đo công trình xây dựng theo dự án đầu tư thì phải thực hiện bằng hình thức hợp đồng theo quy định của Bộ luật dân sự giữa cơ quan đăng ký đất đai và tổ chức, cá nhân có nhu cầu và quy định pháp luật có liên quan. 
Bước 2: Văn phòng Đăng ký đất đai có trách nhiệm trích đo thửa đất, khu đất ở nơi chưa có bản đồ địa chính hoặc đã có bản đồ địa chính nhưng hiện trạng ranh giới sử dụng đất đã thay đổi và chuyển kết quả cho Bộ phận tiếp nhận và trả kết quả để trao cho người sử dụng đất.
Trường hợp trích đo địa chính thửa đất do Văn phòng Đăng ký đất đai hoặc chi nhánh Văn phòng Đăng ký đất đai thực hiện để phục vụ đăng ký đất đai, cấp Giấy chứng nhận đơn lẻ, thường xuyên thì phải có chữ ký của người thực hiện đo đạc, người kiểm tra và ký duyệt của Giám đốc Văn phòng/Chi nhánh Văn phòng Đăng ký đất đai tại vị trí phần ngoài khung mảnh trích đo địa chính theo mẫu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quá 10 ngày làm việc kể từ ngày nhận đủ hồ sơ hợp lệ (không kể thời gian ký xác nhận biên bản ranh giới hoặc niêm yết theo quy định 15 ngày). Đối với các xã thuộc huyện Hòa Vang được tăng thêm thời gian không quá 05 ngày làm việc. Kết quả giải quyết thủ tục hành chính phải trả cho người sử dụng đất, chủ sở hữu tài sản gắn liền với đất trong thời hạn không quá 03 ngày kể từ ngày có kết quả giải quyết. </w:t>
            </w:r>
          </w:p>
        </w:tc>
        <w:tc>
          <w:p/>
          <w:p>
            <w:pPr>
              <w:spacing w:after="0" w:before="0" w:lineRule="auto" w:line="276"/>
              <w:jc w:val="left"/>
            </w:pPr>
            <w:r>
              <w:rPr>
                <w:rFonts w:ascii="Times New Roman" w:hAnsi="Times New Roman" w:cs="Times New Roman" w:eastAsia="Times New Roman"/>
                <w:b w:val="false"/>
                <w:sz w:val="26"/>
              </w:rPr>
              <w:t xml:space="preserve">Phí : Theo Quyết định của UBND thành phố Đà Nẵng ban hành Bộ đơn giá đo đạc địa chính (hiện áp dụng theo Quyết định số 33/2019/QĐ-UBND ngày 17/7/2019). </w:t>
              <w:t xml:space="preserve"> (Phí trích đo địa chính)</w:t>
            </w:r>
          </w:p>
        </w:tc>
        <w:tc>
          <w:p/>
          <w:p>
            <w:pPr>
              <w:spacing w:after="0" w:before="0" w:lineRule="auto" w:line="276"/>
              <w:jc w:val="left"/>
            </w:pPr>
            <w:r>
              <w:rPr>
                <w:rFonts w:ascii="Times New Roman" w:hAnsi="Times New Roman" w:cs="Times New Roman" w:eastAsia="Times New Roman"/>
                <w:b w:val="false"/>
                <w:sz w:val="26"/>
              </w:rPr>
              <w:t>Hồ sơ được nộp trực tiếp tại Văn phòng đăng ký đất đai;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quá 10 ngày làm việc kể từ ngày nhận đủ hồ sơ hợp lệ (không kể thời gian ký xác nhận biên bản ranh giới hoặc niêm yết theo quy định 15 ngày). Đối với các xã thuộc huyện Hòa Vang được tăng thêm thời gian không quá 05 ngày làm việc. Kết quả giải quyết thủ tục hành chính phải trả cho người sử dụng đất, chủ sở hữu tài sản gắn liền với đất trong thời hạn không quá 03 ngày kể từ ngày có kết quả giải quyết. </w:t>
            </w:r>
          </w:p>
        </w:tc>
        <w:tc>
          <w:p/>
          <w:p>
            <w:pPr>
              <w:spacing w:after="0" w:before="0" w:lineRule="auto" w:line="276"/>
              <w:jc w:val="left"/>
            </w:pPr>
            <w:r>
              <w:rPr>
                <w:rFonts w:ascii="Times New Roman" w:hAnsi="Times New Roman" w:cs="Times New Roman" w:eastAsia="Times New Roman"/>
                <w:b w:val="false"/>
                <w:sz w:val="26"/>
              </w:rPr>
              <w:t xml:space="preserve">Phí : Theo Quyết định của UBND thành phố Đà Nẵng ban hành Bộ đơn giá đo đạc địa chính (hiện áp dụng theo Quyết định số 33/2019/QĐ-UBND ngày 17/7/2019). </w:t>
              <w:t xml:space="preserve"> (Phí trích đo địa chính)</w:t>
            </w:r>
          </w:p>
        </w:tc>
        <w:tc>
          <w:p/>
          <w:p>
            <w:pPr>
              <w:spacing w:after="0" w:before="0" w:lineRule="auto" w:line="276"/>
              <w:jc w:val="left"/>
            </w:pPr>
            <w:r>
              <w:rPr>
                <w:rFonts w:ascii="Times New Roman" w:hAnsi="Times New Roman" w:cs="Times New Roman" w:eastAsia="Times New Roman"/>
                <w:b w:val="false"/>
                <w:sz w:val="26"/>
              </w:rPr>
              <w:t>Hồ sơ được nộp qua hệ thống đăng ký trực tuyến tại địa chỉ https://dichvucong.danang.gov.vn/ (Bản scan theo thành phần, số lượng hồ sơ bên dưới và khi nộp chứng từ thực hiện nghĩa vụ tài chính hoặc khi nhận kết quả trong trường hợp không phải nộp nghĩa vụ tài chính thì nộp bản gốc để đăng ký biến động);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quá 10 ngày làm việc kể từ ngày nhận đủ hồ sơ hợp lệ (không kể thời gian ký xác nhận biên bản ranh giới hoặc niêm yết theo quy định 15 ngày). Đối với các xã thuộc huyện Hòa Vang được tăng thêm thời gian không quá 05 ngày làm việc. Kết quả giải quyết thủ tục hành chính phải trả cho người sử dụng đất, chủ sở hữu tài sản gắn liền với đất trong thời hạn không quá 03 ngày kể từ ngày có kết quả giải quyết. </w:t>
            </w:r>
          </w:p>
        </w:tc>
        <w:tc>
          <w:p/>
          <w:p>
            <w:pPr>
              <w:spacing w:after="0" w:before="0" w:lineRule="auto" w:line="276"/>
              <w:jc w:val="left"/>
            </w:pPr>
            <w:r>
              <w:rPr>
                <w:rFonts w:ascii="Times New Roman" w:hAnsi="Times New Roman" w:cs="Times New Roman" w:eastAsia="Times New Roman"/>
                <w:b w:val="false"/>
                <w:sz w:val="26"/>
              </w:rPr>
              <w:t xml:space="preserve">Phí : Theo Quyết định của UBND thành phố Đà Nẵng ban hành Bộ đơn giá đo đạc địa chính (hiện áp dụng theo Quyết định số 33/2019/QĐ-UBND ngày 17/7/2019). </w:t>
              <w:t xml:space="preserve"> (Phí trích đo địa chính)</w:t>
            </w:r>
          </w:p>
        </w:tc>
        <w:tc>
          <w:p/>
          <w:p>
            <w:pPr>
              <w:spacing w:after="0" w:before="0" w:lineRule="auto" w:line="276"/>
              <w:jc w:val="left"/>
            </w:pPr>
            <w:r>
              <w:rPr>
                <w:rFonts w:ascii="Times New Roman" w:hAnsi="Times New Roman" w:cs="Times New Roman" w:eastAsia="Times New Roman"/>
                <w:b w:val="false"/>
                <w:sz w:val="26"/>
              </w:rPr>
              <w:t>Hồ sơ được nộp qua đường bưu điện đến Văn phòng đăng ký đất đai.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yêu cầu trích đo địa chính thửa đất, khu đất theo quy định;</w:t>
            </w:r>
          </w:p>
        </w:tc>
        <w:tc>
          <w:p/>
          <w:p>
            <w:pPr>
              <w:spacing w:after="0" w:before="0" w:lineRule="auto" w:line="276"/>
              <w:jc w:val="left"/>
            </w:pPr>
            <w:r>
              <w:rPr>
                <w:rFonts w:ascii="Times New Roman" w:hAnsi="Times New Roman" w:cs="Times New Roman" w:eastAsia="Times New Roman"/>
                <w:b w:val="false"/>
                <w:sz w:val="26"/>
              </w:rPr>
              <w:t>Phieu yeu cau trich do dia chinh thua dat, khu dat.doc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tờ về sử dụng đất và các giấy tờ liên quan về sử dụng đất, tài sản gắn liền với đất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Văn phòng Đăng ký đất đai TP.Đà Nẵng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Chi nhánh Văn phòng đăng ký đất đai, Văn phòng Đăng ký đất đai TP.Đà Nẵng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khung trích đo địa chính của thửa đất, khu đất có xác nhận đầy đủ của cơ quan có thẩm quyền; Bản mô tả ranh giới, mốc giới thửa đất; Phiếu xác nhận kết quả đo đạc hiện trạng thửa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 ngày 15 tháng 5 năm 2014 của Chính phủ</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2555/QĐ-BTNMT</w:t>
            </w:r>
          </w:p>
        </w:tc>
        <w:tc>
          <w:p/>
          <w:p>
            <w:pPr>
              <w:spacing w:after="0" w:before="0" w:lineRule="auto" w:line="276"/>
              <w:jc w:val="left"/>
            </w:pPr>
            <w:r>
              <w:rPr>
                <w:rFonts w:ascii="Times New Roman" w:hAnsi="Times New Roman" w:cs="Times New Roman" w:eastAsia="Times New Roman"/>
                <w:b w:val="false"/>
                <w:sz w:val="26"/>
              </w:rPr>
              <w:t>Quyết định 2555/QĐ-BTNMT</w:t>
            </w:r>
          </w:p>
        </w:tc>
        <w:tc>
          <w:p/>
          <w:p>
            <w:pPr>
              <w:spacing w:after="0" w:before="0" w:lineRule="auto" w:line="276"/>
              <w:jc w:val="left"/>
            </w:pPr>
            <w:r>
              <w:rPr>
                <w:rFonts w:ascii="Times New Roman" w:hAnsi="Times New Roman" w:cs="Times New Roman" w:eastAsia="Times New Roman"/>
                <w:b w:val="false"/>
                <w:sz w:val="26"/>
              </w:rPr>
              <w:t>20-10-2017</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 xml:space="preserve">02/2015/TT-BTNMT </w:t>
            </w:r>
          </w:p>
        </w:tc>
        <w:tc>
          <w:p/>
          <w:p>
            <w:pPr>
              <w:spacing w:after="0" w:before="0" w:lineRule="auto" w:line="276"/>
              <w:jc w:val="left"/>
            </w:pPr>
            <w:r>
              <w:rPr>
                <w:rFonts w:ascii="Times New Roman" w:hAnsi="Times New Roman" w:cs="Times New Roman" w:eastAsia="Times New Roman"/>
                <w:b w:val="false"/>
                <w:sz w:val="26"/>
              </w:rPr>
              <w:t>Quy định chi tiết một số điều của Nghị định số 43/2014/NĐ-CP và Nghị định số 44/2014/NĐ-CPngày 15/5/2014 của Chính phủ</w:t>
            </w:r>
          </w:p>
        </w:tc>
        <w:tc>
          <w:p/>
          <w:p>
            <w:pPr>
              <w:spacing w:after="0" w:before="0" w:lineRule="auto" w:line="276"/>
              <w:jc w:val="left"/>
            </w:pPr>
            <w:r>
              <w:rPr>
                <w:rFonts w:ascii="Times New Roman" w:hAnsi="Times New Roman" w:cs="Times New Roman" w:eastAsia="Times New Roman"/>
                <w:b w:val="false"/>
                <w:sz w:val="26"/>
              </w:rPr>
              <w:t>27-01-2015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45/2013/QH13</w:t>
            </w:r>
          </w:p>
        </w:tc>
        <w:tc>
          <w:p/>
          <w:p>
            <w:pPr>
              <w:spacing w:after="0" w:before="0" w:lineRule="auto" w:line="276"/>
              <w:jc w:val="left"/>
            </w:pPr>
            <w:r>
              <w:rPr>
                <w:rFonts w:ascii="Times New Roman" w:hAnsi="Times New Roman" w:cs="Times New Roman" w:eastAsia="Times New Roman"/>
                <w:b w:val="false"/>
                <w:sz w:val="26"/>
              </w:rPr>
              <w:t>luật đất đai</w:t>
            </w:r>
          </w:p>
        </w:tc>
        <w:tc>
          <w:p/>
          <w:p>
            <w:pPr>
              <w:spacing w:after="0" w:before="0" w:lineRule="auto" w:line="276"/>
              <w:jc w:val="left"/>
            </w:pPr>
            <w:r>
              <w:rPr>
                <w:rFonts w:ascii="Times New Roman" w:hAnsi="Times New Roman" w:cs="Times New Roman" w:eastAsia="Times New Roman"/>
                <w:b w:val="false"/>
                <w:sz w:val="26"/>
              </w:rPr>
              <w:t>29-11-2013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số 85/2019/TT-BTC ngày 29 tháng 11 năm 2019 của Bộ trưởng Bộ Tài chính hướng dẫn về phí và lệ phí thuộc thẩm quyền quyết định của HĐND tỉnh, thành phố trực thuộc Trung ương (được sửa đổi bổ sung tại Thông tư số 106/2021/TT-BTC ngày 26 tháng 11 năm 2021 và Thông tư số 75/2022/TT-BTC ngày 22 tháng 12 năm 2022 của Bộ trưởng Bộ Tài chính)</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34/2014/TT-BTNMT</w:t>
            </w:r>
          </w:p>
        </w:tc>
        <w:tc>
          <w:p/>
          <w:p>
            <w:pPr>
              <w:spacing w:after="0" w:before="0" w:lineRule="auto" w:line="276"/>
              <w:jc w:val="left"/>
            </w:pPr>
            <w:r>
              <w:rPr>
                <w:rFonts w:ascii="Times New Roman" w:hAnsi="Times New Roman" w:cs="Times New Roman" w:eastAsia="Times New Roman"/>
                <w:b w:val="false"/>
                <w:sz w:val="26"/>
              </w:rPr>
              <w:t>Thông tư 34/2014/TT-BTNMT</w:t>
            </w:r>
          </w:p>
        </w:tc>
        <w:tc>
          <w:p/>
          <w:p>
            <w:pPr>
              <w:spacing w:after="0" w:before="0" w:lineRule="auto" w:line="276"/>
              <w:jc w:val="left"/>
            </w:pPr>
            <w:r>
              <w:rPr>
                <w:rFonts w:ascii="Times New Roman" w:hAnsi="Times New Roman" w:cs="Times New Roman" w:eastAsia="Times New Roman"/>
                <w:b w:val="false"/>
                <w:sz w:val="26"/>
              </w:rPr>
              <w:t>30-06-2014</w:t>
            </w:r>
          </w:p>
        </w:tc>
        <w:tc>
          <w:p/>
        </w:tc>
      </w:tr>
      <w:tr>
        <w:tc>
          <w:p/>
          <w:p>
            <w:pPr>
              <w:spacing w:after="0" w:before="0" w:lineRule="auto" w:line="276"/>
              <w:jc w:val="left"/>
            </w:pPr>
            <w:r>
              <w:rPr>
                <w:rFonts w:ascii="Times New Roman" w:hAnsi="Times New Roman" w:cs="Times New Roman" w:eastAsia="Times New Roman"/>
                <w:b w:val="false"/>
                <w:sz w:val="26"/>
              </w:rPr>
              <w:t>59/2016/NQ-HĐND</w:t>
            </w:r>
          </w:p>
        </w:tc>
        <w:tc>
          <w:p/>
          <w:p>
            <w:pPr>
              <w:spacing w:after="0" w:before="0" w:lineRule="auto" w:line="276"/>
              <w:jc w:val="left"/>
            </w:pPr>
            <w:r>
              <w:rPr>
                <w:rFonts w:ascii="Times New Roman" w:hAnsi="Times New Roman" w:cs="Times New Roman" w:eastAsia="Times New Roman"/>
                <w:b w:val="false"/>
                <w:sz w:val="26"/>
              </w:rPr>
              <w:t>Quy định mức thu, đối tượng thu, nộp lệ phí cấp giấy chứng nhận quyền sử dụng đất, quyền sở hữu nhà, tài sản gắn liền với đất trên địa bàn thành phố Đà Nẵng</w:t>
            </w:r>
          </w:p>
        </w:tc>
        <w:tc>
          <w:p/>
          <w:p>
            <w:pPr>
              <w:spacing w:after="0" w:before="0" w:lineRule="auto" w:line="276"/>
              <w:jc w:val="left"/>
            </w:pPr>
            <w:r>
              <w:rPr>
                <w:rFonts w:ascii="Times New Roman" w:hAnsi="Times New Roman" w:cs="Times New Roman" w:eastAsia="Times New Roman"/>
                <w:b w:val="false"/>
                <w:sz w:val="26"/>
              </w:rPr>
              <w:t>08-12-2016</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25/2014/TT-BTNMT</w:t>
            </w:r>
          </w:p>
        </w:tc>
        <w:tc>
          <w:p/>
          <w:p>
            <w:pPr>
              <w:spacing w:after="0" w:before="0" w:lineRule="auto" w:line="276"/>
              <w:jc w:val="left"/>
            </w:pPr>
            <w:r>
              <w:rPr>
                <w:rFonts w:ascii="Times New Roman" w:hAnsi="Times New Roman" w:cs="Times New Roman" w:eastAsia="Times New Roman"/>
                <w:b w:val="false"/>
                <w:sz w:val="26"/>
              </w:rPr>
              <w:t>Thông tư 25/2014/TT-BTNMT</w:t>
            </w:r>
          </w:p>
        </w:tc>
        <w:tc>
          <w:p/>
          <w:p>
            <w:pPr>
              <w:spacing w:after="0" w:before="0" w:lineRule="auto" w:line="276"/>
              <w:jc w:val="left"/>
            </w:pPr>
            <w:r>
              <w:rPr>
                <w:rFonts w:ascii="Times New Roman" w:hAnsi="Times New Roman" w:cs="Times New Roman" w:eastAsia="Times New Roman"/>
                <w:b w:val="false"/>
                <w:sz w:val="26"/>
              </w:rPr>
              <w:t>19-05-2014</w:t>
            </w:r>
          </w:p>
        </w:tc>
        <w:tc>
          <w:p/>
        </w:tc>
      </w:tr>
      <w:tr>
        <w:tc>
          <w:p/>
          <w:p>
            <w:pPr>
              <w:spacing w:after="0" w:before="0" w:lineRule="auto" w:line="276"/>
              <w:jc w:val="left"/>
            </w:pPr>
            <w:r>
              <w:rPr>
                <w:rFonts w:ascii="Times New Roman" w:hAnsi="Times New Roman" w:cs="Times New Roman" w:eastAsia="Times New Roman"/>
                <w:b w:val="false"/>
                <w:sz w:val="26"/>
              </w:rPr>
              <w:t>33/2019/QĐ-UBND</w:t>
            </w:r>
          </w:p>
        </w:tc>
        <w:tc>
          <w:p/>
          <w:p>
            <w:pPr>
              <w:spacing w:after="0" w:before="0" w:lineRule="auto" w:line="276"/>
              <w:jc w:val="left"/>
            </w:pPr>
            <w:r>
              <w:rPr>
                <w:rFonts w:ascii="Times New Roman" w:hAnsi="Times New Roman" w:cs="Times New Roman" w:eastAsia="Times New Roman"/>
                <w:b w:val="false"/>
                <w:sz w:val="26"/>
              </w:rPr>
              <w:t>Ban hành Bộ đơn giá đo đạc địa chính áp dụng trên địa bàn thành phố Đà Nẵng</w:t>
            </w:r>
          </w:p>
        </w:tc>
        <w:tc>
          <w:p/>
          <w:p>
            <w:pPr>
              <w:spacing w:after="0" w:before="0" w:lineRule="auto" w:line="276"/>
              <w:jc w:val="left"/>
            </w:pPr>
            <w:r>
              <w:rPr>
                <w:rFonts w:ascii="Times New Roman" w:hAnsi="Times New Roman" w:cs="Times New Roman" w:eastAsia="Times New Roman"/>
                <w:b w:val="false"/>
                <w:sz w:val="26"/>
              </w:rPr>
              <w:t>17-07-2019</w:t>
            </w:r>
          </w:p>
        </w:tc>
        <w:tc>
          <w:p/>
          <w:p>
            <w:pPr>
              <w:spacing w:after="0" w:before="0" w:lineRule="auto" w:line="276"/>
              <w:jc w:val="left"/>
            </w:pPr>
            <w:r>
              <w:rPr>
                <w:rFonts w:ascii="Times New Roman" w:hAnsi="Times New Roman" w:cs="Times New Roman" w:eastAsia="Times New Roman"/>
                <w:b w:val="false"/>
                <w:sz w:val="26"/>
              </w:rPr>
              <w:t>UBND Thành phố Đà Nẵng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Thửa đất, khu đất trích đo phải có ranh giới, mốc giới rõ ràng trên thực địa. Khi trích đo phải có người dẫn đạc theo quy định Thông tư số 25/2014/TT-BTNMT ngày 19/5/2014 của Bộ trưởng Bộ Tài nguyên và Môi trường Quy định về bản đồ địa chính.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2026-05-18T11:48:31Z</dcterms:created>
  <dc:creator>Apache POI</dc:creator>
</cp:coreProperties>
</file>