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thành lập đơn vị sự nghiệp công lập thuộc thẩm quyền quyết định của Bộ trưởng, Thủ trưởng cơ quan ngang bộ, Thủ trưởng cơ quan thuộc Chính phủ, tổ chức do Chính phủ, Thủ tướng Chính phủ thành lập mà không phải đơn vị sự nghiệp công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thành lập đơn vị sự nghiệp công lập gửi hồ sơ trực tiếp hoặc qua hệ thống bưu chính công ích hoặc trên môi trường mạng đến Vụ (cục hoặc ban) tổ chức cán bộ thuộc Bộ, cơ quan ngang bộ, cơ quan thuộc Chính phủ, tổ chức do Chính phủ, Thủ tướng Chính phủ thành lập mà không phải đơn vị sự nghiệp công lập.</w:t>
      </w:r>
    </w:p>
    <w:p>
      <w:pPr>
        <w:spacing w:after="0" w:before="0" w:lineRule="auto" w:line="276"/>
        <w:jc w:val="both"/>
      </w:pPr>
      <w:r>
        <w:rPr>
          <w:rFonts w:ascii="Times New Roman" w:hAnsi="Times New Roman" w:cs="Times New Roman" w:eastAsia="Times New Roman"/>
          <w:b w:val="false"/>
          <w:sz w:val="26"/>
        </w:rPr>
        <w:t>Bước 2: Công chức chuyên trách của Vụ (cục hoặc ban) tổ chức cán bộ thuộc Bộ, cơ quan ngang bộ, cơ quan thuộc Chính phủ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thành lập theo quy định (trường hợp tổ chức không có dấu pháp nhân thì người đứng đầu tổ chức ký và ghi rõ họ tên).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Bộ trưởng, Thủ trưởng cơ quan ngang bộ, Thủ trưởng cơ quan thuộc Chính phủ, tổ chức do Chính phủ, Thủ tướng Chính phủ thành lập mà không phải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quy định chức năng, nhiệm vụ, quyền hạn và cơ cấu tổ chức của đơn vị sự nghiệp công lập hoặc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cơ quan, tổ chức đề nghị thành lập đơn vị sự nghiệp công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8, Tôn Thất Thuyết, quận Nam Từ Liêm,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2026-05-17T12:43:27Z</dcterms:created>
  <dc:creator>Apache POI</dc:creator>
</cp:coreProperties>
</file>