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giải thể đơn vị sự nghiệp công lập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đề nghị giải thể đơn vị sự nghiệp công lập gửi hồ sơ trực tiếp hoặc qua hệ thống bưu chính công ích hoặc trên môi trường mạng đến cơ quan chuyên môn tham mưu quản lý nhà nước về lĩnh vực tổ chức bộ máy thuộc Ủy ban nhân dân cấp tỉnh.</w:t>
      </w:r>
    </w:p>
    <w:p>
      <w:pPr>
        <w:spacing w:after="0" w:before="0" w:lineRule="auto" w:line="276"/>
        <w:jc w:val="both"/>
      </w:pPr>
      <w:r>
        <w:rPr>
          <w:rFonts w:ascii="Times New Roman" w:hAnsi="Times New Roman" w:cs="Times New Roman" w:eastAsia="Times New Roman"/>
          <w:b w:val="false"/>
          <w:sz w:val="26"/>
        </w:rPr>
        <w:t>Bước 2: Công chức chuyên trách của cơ quan chuyên môn tham mưu quản lý nhà nước về lĩnh vực tổ chức bộ máy thuộc Ủy ban nhân dân cấp tỉnh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hồ sơ.</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được ký tên, đóng dấu của cơ quan, tổ chức đề nghị giải thể đơn vị sự nghiệp công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án giải thể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thảoTờ trình giải thể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2026-05-22T14:58:28Z</dcterms:created>
  <dc:creator>Apache POI</dc:creator>
</cp:coreProperties>
</file>