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hành chính thẩm định tổ chức lại tổ chức hành chính thuộc thẩm quyền quyết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 Biên chế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đề nghị tổ chức lại tổ chức hành chính gửi hồ sơ đến cơ quan chuyên môn tham mưu quản lý nhà nước về lĩnh vực tổ chức bộ máy thuộc Ủy ban nhân dân cấp tỉnh.</w:t>
      </w:r>
    </w:p>
    <w:p>
      <w:pPr>
        <w:spacing w:after="0" w:before="0" w:lineRule="auto" w:line="276"/>
        <w:jc w:val="both"/>
      </w:pPr>
      <w:r>
        <w:rPr>
          <w:rFonts w:ascii="Times New Roman" w:hAnsi="Times New Roman" w:cs="Times New Roman" w:eastAsia="Times New Roman"/>
          <w:b w:val="false"/>
          <w:sz w:val="26"/>
        </w:rPr>
        <w:t>- Bước 2: Công chức chuyên trách của cơ quan chuyên môn tham mưu quản lý nhà nước về lĩnh vực tổ chức bộ máy thuộc Ủy ban nhân dân cấp tỉnh kiểm tra hồ sơ; nếu hồ sơ chưa đầy đủ thì trả lại cơ quan, tổ chức để hoàn chỉnh. Nếu hồ sơ đã đầy đủ thì thực hiện bước 3.</w:t>
      </w:r>
    </w:p>
    <w:p>
      <w:pPr>
        <w:spacing w:after="0" w:before="0" w:lineRule="auto" w:line="276"/>
        <w:jc w:val="both"/>
      </w:pPr>
      <w:r>
        <w:rPr>
          <w:rFonts w:ascii="Times New Roman" w:hAnsi="Times New Roman" w:cs="Times New Roman" w:eastAsia="Times New Roman"/>
          <w:b w:val="false"/>
          <w:sz w:val="26"/>
        </w:rPr>
        <w:t>- Bước 3: Thẩm định hồ sơ.</w:t>
      </w:r>
    </w:p>
    <w:p>
      <w:pPr>
        <w:spacing w:after="0" w:before="0" w:lineRule="auto" w:line="276"/>
        <w:jc w:val="both"/>
      </w:pPr>
      <w:r>
        <w:rPr>
          <w:rFonts w:ascii="Times New Roman" w:hAnsi="Times New Roman" w:cs="Times New Roman" w:eastAsia="Times New Roman"/>
          <w:b w:val="false"/>
          <w:sz w:val="26"/>
        </w:rPr>
        <w:t>- Bước 4: Văn bản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trực tiếp tại bộ phận một cửa.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trên môi trường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qua hệ thống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Đề án tổ chức lại tổ chức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tổ chức lại tổ chức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Quyết định của Ủy ban nhân dân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văn bản của cơ quan, tổ chức có thẩm quyền xác nhận việc hoàn thành nghĩa vụ về tài chính, tài sản, đất đai, các khoản vay, nợ phải trả và các vấn đề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158/2018/NĐ-CP</w:t>
            </w:r>
          </w:p>
        </w:tc>
        <w:tc>
          <w:p/>
          <w:p>
            <w:pPr>
              <w:spacing w:after="0" w:before="0" w:lineRule="auto" w:line="276"/>
              <w:jc w:val="left"/>
            </w:pPr>
            <w:r>
              <w:rPr>
                <w:rFonts w:ascii="Times New Roman" w:hAnsi="Times New Roman" w:cs="Times New Roman" w:eastAsia="Times New Roman"/>
                <w:b w:val="false"/>
                <w:sz w:val="26"/>
              </w:rPr>
              <w:t>Nghị định 158/2018/NĐ-CP</w:t>
            </w:r>
          </w:p>
        </w:tc>
        <w:tc>
          <w:p/>
          <w:p>
            <w:pPr>
              <w:spacing w:after="0" w:before="0" w:lineRule="auto" w:line="276"/>
              <w:jc w:val="left"/>
            </w:pPr>
            <w:r>
              <w:rPr>
                <w:rFonts w:ascii="Times New Roman" w:hAnsi="Times New Roman" w:cs="Times New Roman" w:eastAsia="Times New Roman"/>
                <w:b w:val="false"/>
                <w:sz w:val="26"/>
              </w:rPr>
              <w:t>22-11-2018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2026-05-22T14:58:21Z</dcterms:created>
  <dc:creator>Apache POI</dc:creator>
</cp:coreProperties>
</file>