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hành nghề kiến trúc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có nhu cầu cấp chứng chỉ hành nghề kiến trúc liên hệ Trung tâm hành chính công tỉnh hoặc truy cập vào Cổng thông tin điện tử của tỉnh để xem hướng dẫn thủ tục. Sau đó, chuẩn bị đầy đủ 01 bộ hồ sơ (theo quy định tại thủ tục này) nộp trực tuyến hoặc qua dịch vụ bưu chính hoặc nộp trực tiếp tại Trung tâm hành chính công tỉnh;  
Lưu ý: Trường hợp nộp hồ sơ trực tuyến và qua dịch vụ bưu chính đề nghị cá nhân ghi rõ địa chỉ liên lạc. 
- Bước 2: Trung tâm hành chính công tỉnh kiểm tra tính chính xác, đầy đủ của hồ sơ; trường hợp hồ sơ đầy đủ, hợp lệ thì viết giấy hẹn trao cho người nộp; trường hợp hồ sơ thiếu hoặc không hợp lệ thì công chức tiếp nhận hồ sơ hướng dẫn đầy đủ một lần bằng phiếu hướng dẫn để người nộp hoàn thiện hồ sơ. 
- Bước 3: Trong thời hạn 05 ngày kể từ ngày tiếp nhận hồ sơ, Sở Xây dựng thông báo một lần bằng văn bản hướng dẫn cá nhân bổ sung, hoàn thiện hồ sơ đối với trường hợp hồ sơ thiếu hoặc không hợp lệ; 
- Trong thời hạn 15 ngày kể từ ngày nhận đủ hồ sơ hợp lệ Sở xây dựng có trách nhiệm cấp chứng chỉ hành nghề kiến trúc cho cá nhân; sau khi có kết quả, Sở Xây dựng chuyển kết quả hồ sơ đến Trung tâm hành chính công tỉnh;  
- Bước 4: Đến ngày hẹn trả kết quả (hoặc sau khi hồ sơ có kết quả trước thời hạn), Trung tâm hành chính công tỉnh thông báo cho cá nhân về kết quả thực hiện hồ sơ.  
- Cá nhân đăng ký nhận chứng chỉ hành nghề kiến trúc qua dịch vụ bưu chính hoặc trực tiếp tại Trung tâm hành chính công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chứng chỉ hành nghề theo mẫu số 02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Maudonso2PhulucIIInghidinh852020.doc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nền trắng cỡ 4 x 6 cm được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Bằng đại học phù hợp với nội dung chứng chỉ đề nghị cấp; đối với văn bằng do cơ sở đào tạo nước ngoài cấp, phải có bản dịch sang tiếng Việt,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sát hạch đạt yêu cầu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Ngoại trừ đơn đề nghị, các văn bằng, tài liệu khác phải là bản sao có chứng thực hoặc tệp tin chứa ảnh màu chụp từ bản chính hoặc bản sao,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HNKT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38/2022/TT-BTC</w:t>
            </w:r>
          </w:p>
        </w:tc>
        <w:tc>
          <w:p/>
          <w:p>
            <w:pPr>
              <w:spacing w:after="0" w:before="0" w:lineRule="auto" w:line="276"/>
              <w:jc w:val="left"/>
            </w:pPr>
            <w:r>
              <w:rPr>
                <w:rFonts w:ascii="Times New Roman" w:hAnsi="Times New Roman" w:cs="Times New Roman" w:eastAsia="Times New Roman"/>
                <w:b w:val="false"/>
                <w:sz w:val="26"/>
              </w:rPr>
              <w:t>Thông tư 38/2022/TT-BTC</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35/2023/NĐ-CP</w:t>
            </w:r>
          </w:p>
        </w:tc>
        <w:tc>
          <w:p/>
          <w:p>
            <w:pPr>
              <w:spacing w:after="0" w:before="0" w:lineRule="auto" w:line="276"/>
              <w:jc w:val="left"/>
            </w:pPr>
            <w:r>
              <w:rPr>
                <w:rFonts w:ascii="Times New Roman" w:hAnsi="Times New Roman" w:cs="Times New Roman" w:eastAsia="Times New Roman"/>
                <w:b w:val="false"/>
                <w:sz w:val="26"/>
              </w:rPr>
              <w:t>20-06-2023</w:t>
            </w:r>
          </w:p>
        </w:tc>
        <w:tc>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trình độ đại học trở lên trong lĩnh vực kiến trúc;
- Có kinh nghiệm tham gia thực hiện dịch vụ kiến trúc tối thiểu 03 năm tại tổ chức hành nghề kiến trúc hoặc hợp tác với kiến trúc sư hành nghề với tư cách cá nhân (Cá nhân đạt giải thưởng kiến trúc quốc gia hoặc giải thưởng quốc tế được miễn điều này); 
- Đạt yêu cầu sát hạch cấp chứng chỉ hành nghề kiến trúc (Cá nhân có thời gian liên tục từ 10 năm trở lên trực tiếp tham gia quản lý nhà nước về kiến trúc, đào tạo trình độ đại học trở lên về lĩnh vực kiến trúc, hành nghề kiến trúc được miễn điều kiện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2026-04-30T13:32:18Z</dcterms:created>
  <dc:creator>Apache POI</dc:creator>
</cp:coreProperties>
</file>