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1.008991.000.00.00.H19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669/QĐ-UBND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chứng chỉ hành nghề kiến trúc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Kiến trúc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có nhu cầu cấp chứng chỉ hành nghề kiến trúc liên hệ Trung tâm hành chính công tỉnh hoặc truy cập vào Cổng thông tin điện tử của tỉnh để xem hướng dẫn thủ tục. Sau đó, chuẩn bị đầy đủ 01 bộ hồ sơ (theo quy định tại thủ tục này) nộp trực tuyến hoặc qua dịch vụ bưu chính hoặc nộp trực tiếp tại Trung tâm hành chính công tỉnh; 
Lưu ý: Trường hợp nộp hồ sơ trực tuyến và qua dịch vụ bưu chính đề nghị cá nhân ghi rõ địa chỉ liên lạc. 
- Bước 2: Trung tâm hành chính công tỉnh kiểm tra tính chính xác, đầy đủ của hồ sơ; trường hợp hồ sơ đầy đủ, hợp lệ thì viết giấy hẹn trao cho người nộp; trường hợp hồ sơ thiếu hoặc không hợp lệ thì công chức tiếp nhận hồ sơ hướng dẫn đầy đủ một lần bằng phiếu hướng dẫn để người nộp hoàn thiện hồ sơ. 
- Bước 3: Trong thời hạn 05 ngày kể từ ngày tiếp nhận hồ sơ, Sở Xây dựng thông báo một lần bằng văn bản hướng dẫn cá nhân bổ sung, hoàn thiện hồ sơ đối với trường hợp hồ sơ thiếu hoặc không hợp lệ; 
- Trong thời hạn 10 ngày kể từ ngày nhận đủ hồ sơ hợp lệ Sở xây dựng có trách nhiệm cấp gia hạn chứng chỉ hành nghề kiến trúc cho cá nhân; sau khi có kết quả, Sở Xây dựng chuyển kết quả hồ sơ đến Trung tâm hành chính công tỉnh;
- Bước 4: Đến ngày hẹn trả kết quả (hoặc sau khi hồ sơ có kết quả trước thời hạn), Trung tâm hành chính công tỉnh thông báo cho cá nhân về kết quả thực hiện hồ sơ.  
- Cá nhân đăng ký nhận chứng chỉ hành nghề kiến trúc qua dịch vụ bưu chính hoặc trực tiếp tại Trung tâm hành chính công tỉnh.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150000 Đồng</w:t>
              <w:t xml:space="preserve"> (150.000 đồng/chứng chỉ, theo quy định tại Thông tư số 38/2022/TT-BTC ngày 24/6/2022 của Bộ trưởng Bộ Tài chính quy định mức thu, chế độ thu, nộp lệ phí cấp giấy phép hoạt động xây dựng, lệ phí cấp chứng chỉ hành nghề kiến trúc sư)</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150000 Đồng</w:t>
              <w:t xml:space="preserve"> (150.000 đồng/chứng chỉ, theo quy định tại Thông tư số 38/2022/TT-BTC ngày 24/6/2022 của Bộ trưởng Bộ Tài chính quy định mức thu, chế độ thu, nộp lệ phí cấp giấy phép hoạt động xây dựng, lệ phí cấp chứng chỉ hành nghề kiến trúc sư)</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150000 Đồng</w:t>
              <w:t xml:space="preserve"> (150.000 đồng/chứng chỉ, theo quy định tại Thông tư số 38/2022/TT-BTC ngày 24/6/2022 của Bộ trưởng Bộ Tài chính quy định mức thu, chế độ thu, nộp lệ phí cấp giấy phép hoạt động xây dựng, lệ phí cấp chứng chỉ hành nghề kiến trúc sư)</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- 02 ảnh màu nền trắng cỡ 4 x 6 cm chân dung của người đề nghị được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Chứng chỉ (hoặc chứng nhận) tham gia hoạt động phát triển nghề nghiệp liên tục lĩnh vực kiến trúc do tổ chức xã hội nghề nghiệp về hành nghề kiến trúc, cơ sở nghiên cứu đào tạo về kiến trúc cấp. Trường hợp tham gia các hoạt động phát triển nghề nghiệp liên tục tại nước ngoài thì cần có văn bản, chứng chỉ hoặc tài liệu chứng minh việc đã tham gia đó, được dịch ra tiếng Việt và công chứng, chứng thực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tệp tin chứa ảnh màu chụp từ bản chính hoặc bản sao, xuất trình bản chính để đối chiếu chứng chỉ hành nghề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gia hạn chứng chỉ hành nghề theo mẫu số 02 Phụ lục III của  Nghị định số 85/2020/NĐ-CP ngày 17/7/2020 của Chính phủ quy định chi tiết một số điều của Luật Kiến trúc;</w:t>
            </w:r>
          </w:p>
        </w:tc>
        <w:tc>
          <w:p/>
          <w:p>
            <w:pPr>
              <w:spacing w:after="0" w:before="0" w:lineRule="auto" w:line="276"/>
              <w:jc w:val="left"/>
            </w:pPr>
            <w:r>
              <w:rPr>
                <w:rFonts w:ascii="Times New Roman" w:hAnsi="Times New Roman" w:cs="Times New Roman" w:eastAsia="Times New Roman"/>
                <w:b w:val="false"/>
                <w:sz w:val="26"/>
              </w:rPr>
              <w:t>Maudonso2PhulucIIInghidinh852020.doc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hoặc qua dịch vụ bưu chính đến Trung tâm Phục vụ hành chính công tỉnh.  - Nộp trực tuyến qua Cổng DVC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KT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40/2019/QH14</w:t>
            </w:r>
          </w:p>
        </w:tc>
        <w:tc>
          <w:p/>
          <w:p>
            <w:pPr>
              <w:spacing w:after="0" w:before="0" w:lineRule="auto" w:line="276"/>
              <w:jc w:val="left"/>
            </w:pPr>
            <w:r>
              <w:rPr>
                <w:rFonts w:ascii="Times New Roman" w:hAnsi="Times New Roman" w:cs="Times New Roman" w:eastAsia="Times New Roman"/>
                <w:b w:val="false"/>
                <w:sz w:val="26"/>
              </w:rPr>
              <w:t>Luật 40/2019/QH14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85/2020/NĐ-CP</w:t>
            </w:r>
          </w:p>
        </w:tc>
        <w:tc>
          <w:p/>
          <w:p>
            <w:pPr>
              <w:spacing w:after="0" w:before="0" w:lineRule="auto" w:line="276"/>
              <w:jc w:val="left"/>
            </w:pPr>
            <w:r>
              <w:rPr>
                <w:rFonts w:ascii="Times New Roman" w:hAnsi="Times New Roman" w:cs="Times New Roman" w:eastAsia="Times New Roman"/>
                <w:b w:val="false"/>
                <w:sz w:val="26"/>
              </w:rPr>
              <w:t>Nghị định 85/2020/NĐ-CP</w:t>
            </w:r>
          </w:p>
        </w:tc>
        <w:tc>
          <w:p/>
          <w:p>
            <w:pPr>
              <w:spacing w:after="0" w:before="0" w:lineRule="auto" w:line="276"/>
              <w:jc w:val="left"/>
            </w:pPr>
            <w:r>
              <w:rPr>
                <w:rFonts w:ascii="Times New Roman" w:hAnsi="Times New Roman" w:cs="Times New Roman" w:eastAsia="Times New Roman"/>
                <w:b w:val="false"/>
                <w:sz w:val="26"/>
              </w:rPr>
              <w:t>17-07-2020</w:t>
            </w:r>
          </w:p>
        </w:tc>
        <w:tc>
          <w:p/>
        </w:tc>
      </w:tr>
      <w:tr>
        <w:tc>
          <w:p/>
          <w:p>
            <w:pPr>
              <w:spacing w:after="0" w:before="0" w:lineRule="auto" w:line="276"/>
              <w:jc w:val="left"/>
            </w:pPr>
            <w:r>
              <w:rPr>
                <w:rFonts w:ascii="Times New Roman" w:hAnsi="Times New Roman" w:cs="Times New Roman" w:eastAsia="Times New Roman"/>
                <w:b w:val="false"/>
                <w:sz w:val="26"/>
              </w:rPr>
              <w:t>38/2022/TT-BTC</w:t>
            </w:r>
          </w:p>
        </w:tc>
        <w:tc>
          <w:p/>
          <w:p>
            <w:pPr>
              <w:spacing w:after="0" w:before="0" w:lineRule="auto" w:line="276"/>
              <w:jc w:val="left"/>
            </w:pPr>
            <w:r>
              <w:rPr>
                <w:rFonts w:ascii="Times New Roman" w:hAnsi="Times New Roman" w:cs="Times New Roman" w:eastAsia="Times New Roman"/>
                <w:b w:val="false"/>
                <w:sz w:val="26"/>
              </w:rPr>
              <w:t>Thông tư 38/2022/TT-BTC</w:t>
            </w:r>
          </w:p>
        </w:tc>
        <w:tc>
          <w:p/>
          <w:p>
            <w:pPr>
              <w:spacing w:after="0" w:before="0" w:lineRule="auto" w:line="276"/>
              <w:jc w:val="left"/>
            </w:pPr>
            <w:r>
              <w:rPr>
                <w:rFonts w:ascii="Times New Roman" w:hAnsi="Times New Roman" w:cs="Times New Roman" w:eastAsia="Times New Roman"/>
                <w:b w:val="false"/>
                <w:sz w:val="26"/>
              </w:rPr>
              <w:t>24-06-2022</w:t>
            </w:r>
          </w:p>
        </w:tc>
        <w:tc>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Nghị định số 35/2023/NĐ-CP ngày 20/6/2023 của Chính phủ sửa đổi, bổ sung một số điều của các nghị định thuộc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Chứng chỉ hành nghề kiến trúc hết thời hạn sử dụng.
- Bảo đảm phát triển nghề nghiệp liên tục;
- Không vi phạm Quy tắc ứng xử nghề nghiệp của kiến trúc sư hành nghề.</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2026-04-30T13:29:18Z</dcterms:created>
  <dc:creator>Apache POI</dc:creator>
</cp:coreProperties>
</file>