
<file path=[Content_Types].xml><?xml version="1.0" encoding="utf-8"?>
<Types xmlns="http://schemas.openxmlformats.org/package/2006/content-types">
  <Default ContentType="application/vnd.openxmlformats-package.relationships+xml" Extension="rels"/>
  <Default ContentType="application/xml" Extension="xml"/>
  <Override ContentType="application/vnd.openxmlformats-officedocument.extended-properties+xml" PartName="/docProps/app.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wordprocessingml.settings+xml" PartName="/word/settings.xml"/>
</Types>
</file>

<file path=_rels/.rels><?xml version="1.0" encoding="UTF-8" standalone="no"?>
<Relationships xmlns="http://schemas.openxmlformats.org/package/2006/relationships">
<Relationship Id="rId1" Target="word/document.xml" Type="http://schemas.openxmlformats.org/officeDocument/2006/relationships/officeDocument"/>
<Relationship Id="rId2" Target="docProps/app.xml" Type="http://schemas.openxmlformats.org/officeDocument/2006/relationships/extended-properties"/>
<Relationship Id="rId3" Target="docProps/core.xml" Type="http://schemas.openxmlformats.org/package/2006/relationships/metadata/core-properties"/>
</Relationships>

</file>

<file path=word/document.xml><?xml version="1.0" encoding="utf-8"?>
<w:document xmlns:w="http://schemas.openxmlformats.org/wordprocessingml/2006/main">
  <w:body>
    <w:p>
      <w:pPr>
        <w:spacing w:after="300" w:before="0" w:lineRule="auto" w:line="276"/>
        <w:jc w:val="center"/>
      </w:pPr>
      <w:r>
        <w:rPr>
          <w:rFonts w:ascii="Times New Roman" w:hAnsi="Times New Roman" w:cs="Times New Roman" w:eastAsia="Times New Roman"/>
          <w:b w:val="true"/>
          <w:sz w:val="26"/>
        </w:rPr>
        <w:t>Chi tiết thủ tục hành chính</w:t>
      </w:r>
    </w:p>
    <w:p>
      <w:pPr>
        <w:spacing w:after="0" w:before="0" w:lineRule="auto" w:line="276"/>
        <w:jc w:val="both"/>
      </w:pPr>
      <w:r>
        <w:rPr>
          <w:rFonts w:ascii="Times New Roman" w:hAnsi="Times New Roman" w:cs="Times New Roman" w:eastAsia="Times New Roman"/>
          <w:b w:val="true"/>
          <w:sz w:val="26"/>
        </w:rPr>
        <w:t xml:space="preserve">Mã thủ tục: </w:t>
      </w:r>
      <w:r>
        <w:rPr>
          <w:rFonts w:ascii="Times New Roman" w:hAnsi="Times New Roman" w:cs="Times New Roman" w:eastAsia="Times New Roman"/>
          <w:b w:val="false"/>
          <w:sz w:val="26"/>
        </w:rPr>
        <w:t>1.001709</w:t>
      </w:r>
    </w:p>
    <w:p>
      <w:pPr>
        <w:spacing w:after="0" w:before="0" w:lineRule="auto" w:line="276"/>
        <w:jc w:val="both"/>
      </w:pPr>
      <w:r>
        <w:rPr>
          <w:rFonts w:ascii="Times New Roman" w:hAnsi="Times New Roman" w:cs="Times New Roman" w:eastAsia="Times New Roman"/>
          <w:b w:val="true"/>
          <w:sz w:val="26"/>
        </w:rPr>
        <w:t xml:space="preserve">Số quyết định: </w:t>
      </w:r>
      <w:r>
        <w:rPr>
          <w:rFonts w:ascii="Times New Roman" w:hAnsi="Times New Roman" w:cs="Times New Roman" w:eastAsia="Times New Roman"/>
          <w:b w:val="false"/>
          <w:sz w:val="26"/>
        </w:rPr>
        <w:t>4508/QĐ-BVHTTDL</w:t>
      </w:r>
    </w:p>
    <w:p>
      <w:pPr>
        <w:spacing w:after="0" w:before="0" w:lineRule="auto" w:line="276"/>
        <w:jc w:val="both"/>
      </w:pPr>
      <w:r>
        <w:rPr>
          <w:rFonts w:ascii="Times New Roman" w:hAnsi="Times New Roman" w:cs="Times New Roman" w:eastAsia="Times New Roman"/>
          <w:b w:val="true"/>
          <w:sz w:val="26"/>
        </w:rPr>
        <w:t xml:space="preserve">Tên thủ tục: </w:t>
      </w:r>
      <w:r>
        <w:rPr>
          <w:rFonts w:ascii="Times New Roman" w:hAnsi="Times New Roman" w:cs="Times New Roman" w:eastAsia="Times New Roman"/>
          <w:b w:val="false"/>
          <w:sz w:val="26"/>
        </w:rPr>
        <w:t>Thủ tục cấp giấy chứng nhận đăng ký quyền liên quan</w:t>
      </w:r>
    </w:p>
    <w:p>
      <w:pPr>
        <w:spacing w:after="0" w:before="0" w:lineRule="auto" w:line="276"/>
        <w:jc w:val="both"/>
      </w:pPr>
      <w:r>
        <w:rPr>
          <w:rFonts w:ascii="Times New Roman" w:hAnsi="Times New Roman" w:cs="Times New Roman" w:eastAsia="Times New Roman"/>
          <w:b w:val="true"/>
          <w:sz w:val="26"/>
        </w:rPr>
        <w:t xml:space="preserve">Cấp thực hiện: </w:t>
      </w:r>
      <w:r>
        <w:rPr>
          <w:rFonts w:ascii="Times New Roman" w:hAnsi="Times New Roman" w:cs="Times New Roman" w:eastAsia="Times New Roman"/>
          <w:b w:val="false"/>
          <w:sz w:val="26"/>
        </w:rPr>
        <w:t>Cấp Bộ</w:t>
      </w:r>
    </w:p>
    <w:p>
      <w:pPr>
        <w:spacing w:after="0" w:before="0" w:lineRule="auto" w:line="276"/>
        <w:jc w:val="both"/>
      </w:pPr>
      <w:r>
        <w:rPr>
          <w:rFonts w:ascii="Times New Roman" w:hAnsi="Times New Roman" w:cs="Times New Roman" w:eastAsia="Times New Roman"/>
          <w:b w:val="true"/>
          <w:sz w:val="26"/>
        </w:rPr>
        <w:t xml:space="preserve">Loại thủ tục: </w:t>
      </w:r>
      <w:r>
        <w:rPr>
          <w:rFonts w:ascii="Times New Roman" w:hAnsi="Times New Roman" w:cs="Times New Roman" w:eastAsia="Times New Roman"/>
          <w:b w:val="false"/>
          <w:sz w:val="26"/>
        </w:rPr>
        <w:t>TTHC được luật giao quy định chi tiết</w:t>
      </w:r>
    </w:p>
    <w:p>
      <w:pPr>
        <w:spacing w:after="0" w:before="0" w:lineRule="auto" w:line="276"/>
        <w:jc w:val="both"/>
      </w:pPr>
      <w:r>
        <w:rPr>
          <w:rFonts w:ascii="Times New Roman" w:hAnsi="Times New Roman" w:cs="Times New Roman" w:eastAsia="Times New Roman"/>
          <w:b w:val="true"/>
          <w:sz w:val="26"/>
        </w:rPr>
        <w:t xml:space="preserve">Lĩnh vực: </w:t>
      </w:r>
      <w:r>
        <w:rPr>
          <w:rFonts w:ascii="Times New Roman" w:hAnsi="Times New Roman" w:cs="Times New Roman" w:eastAsia="Times New Roman"/>
          <w:b w:val="false"/>
          <w:sz w:val="26"/>
        </w:rPr>
        <w:t>Bản quyền tác giả</w:t>
      </w:r>
    </w:p>
    <w:p>
      <w:pPr>
        <w:spacing w:after="0" w:before="0" w:lineRule="auto" w:line="276"/>
        <w:jc w:val="both"/>
      </w:pPr>
      <w:r>
        <w:rPr>
          <w:rFonts w:ascii="Times New Roman" w:hAnsi="Times New Roman" w:cs="Times New Roman" w:eastAsia="Times New Roman"/>
          <w:b w:val="true"/>
          <w:sz w:val="26"/>
        </w:rPr>
        <w:t xml:space="preserve">Trình tự thực hiện: </w:t>
      </w:r>
    </w:p>
    <w:p>
      <w:pPr>
        <w:shd w:val="clear" w:color="auto" w:fill="F2F6F9"/>
        <w:spacing w:after="0" w:before="120" w:lineRule="auto" w:line="276"/>
        <w:jc w:val="both"/>
      </w:pPr>
      <w:r>
        <w:rPr>
          <w:rFonts w:ascii="Times New Roman" w:hAnsi="Times New Roman" w:cs="Times New Roman" w:eastAsia="Times New Roman"/>
          <w:b w:val="true"/>
          <w:sz w:val="26"/>
        </w:rPr>
        <w:t>Thủ tục cấp Giấy chứng nhận đăng ký quyền liên quan</w:t>
      </w:r>
    </w:p>
    <w:p>
      <w:pPr>
        <w:spacing w:after="0" w:before="0" w:lineRule="auto" w:line="276"/>
        <w:jc w:val="both"/>
      </w:pPr>
      <w:r>
        <w:rPr>
          <w:rFonts w:ascii="Times New Roman" w:hAnsi="Times New Roman" w:cs="Times New Roman" w:eastAsia="Times New Roman"/>
          <w:b w:val="false"/>
          <w:sz w:val="26"/>
        </w:rPr>
        <w:t>Trình tự thực hiện:
- Chủ sở hữu quyền liên quan có thể trực tiếp hoặc uỷ quyền cho tổ chức, cá nhân khác nộp hồ sơ cấp Giấy chứng nhận đăng ký quyền liên quan đến Cục Bản quyền tác giả - Bộ Văn hóa, Thể thao và Du lịch;
- Chủ sở hữu quyền liên quan là cá nhân, tổ chức Việt Nam, cá nhân nước ngoài thường trú tại Việt Nam, tổ chức nước ngoài có trụ sở, văn phòng đại diện hoặc chi nhánh tại Việt Nam nộp hồ sơ cấp Giấy chứng nhận đăng ký quyền liên quan trực tiếp hoặc thông qua đại diện hợp pháp tại Việt Nam;
- Chủ sở hữu quyền liên quan là cá nhân nước ngoài không thường trú tại Việt Nam, tổ chức nước ngoài không có trụ sở, văn phòng đại diện hoặc chi nhánh tại Việt Nam nộp hồ sơ cấp Giấy chứng nhận đăng ký quyền liên quan trực tiếp qua Cổng dịch vụ công trực tuyến hoặc thông qua ủy quyền cho tổ chức tư vấn, dịch vụ quyền tác giả, quyền liên quan tại Việt Nam.</w:t>
      </w:r>
    </w:p>
    <w:p>
      <w:pPr>
        <w:spacing w:after="0" w:before="240" w:lineRule="auto" w:line="276"/>
        <w:jc w:val="both"/>
      </w:pPr>
      <w:r>
        <w:rPr>
          <w:rFonts w:ascii="Times New Roman" w:hAnsi="Times New Roman" w:cs="Times New Roman" w:eastAsia="Times New Roman"/>
          <w:b w:val="true"/>
          <w:sz w:val="26"/>
        </w:rPr>
        <w:t xml:space="preserve">Cách thức thực hiện: </w:t>
      </w:r>
    </w:p>
    <w:tbl>
      <w:tblPr>
        <w:tblW w:w="0" w:type="auto"/>
        <w:tblBorders>
          <w:top w:val="single"/>
          <w:left w:val="single"/>
          <w:bottom w:val="single"/>
          <w:right w:val="single"/>
          <w:insideH w:val="single"/>
          <w:insideV w:val="single"/>
        </w:tblBorders>
      </w:tblPr>
      <w:tr>
        <w:tc>
          <w:tcPr>
            <w:tcW w:w="1500"/>
          </w:tcPr>
          <w:p/>
          <w:p>
            <w:pPr>
              <w:spacing w:after="0" w:before="0" w:lineRule="auto" w:line="276"/>
              <w:jc w:val="center"/>
            </w:pPr>
            <w:r>
              <w:rPr>
                <w:rFonts w:ascii="Times New Roman" w:hAnsi="Times New Roman" w:cs="Times New Roman" w:eastAsia="Times New Roman"/>
                <w:b w:val="true"/>
                <w:sz w:val="26"/>
              </w:rPr>
              <w:t>Hình thức nộp</w:t>
            </w:r>
          </w:p>
        </w:tc>
        <w:tc>
          <w:tcPr>
            <w:tcW w:w="2000"/>
          </w:tcPr>
          <w:p/>
          <w:p>
            <w:pPr>
              <w:spacing w:after="0" w:before="0" w:lineRule="auto" w:line="276"/>
              <w:jc w:val="center"/>
            </w:pPr>
            <w:r>
              <w:rPr>
                <w:rFonts w:ascii="Times New Roman" w:hAnsi="Times New Roman" w:cs="Times New Roman" w:eastAsia="Times New Roman"/>
                <w:b w:val="true"/>
                <w:sz w:val="26"/>
              </w:rPr>
              <w:t>Thời hạn giải quyết</w:t>
            </w:r>
          </w:p>
        </w:tc>
        <w:tc>
          <w:tcPr>
            <w:tcW w:w="3500"/>
          </w:tcPr>
          <w:p/>
          <w:p>
            <w:pPr>
              <w:spacing w:after="0" w:before="0" w:lineRule="auto" w:line="276"/>
              <w:jc w:val="center"/>
            </w:pPr>
            <w:r>
              <w:rPr>
                <w:rFonts w:ascii="Times New Roman" w:hAnsi="Times New Roman" w:cs="Times New Roman" w:eastAsia="Times New Roman"/>
                <w:b w:val="true"/>
                <w:sz w:val="26"/>
              </w:rPr>
              <w:t>Phí, lệ phí</w:t>
            </w:r>
          </w:p>
        </w:tc>
        <w:tc>
          <w:tcPr>
            <w:tcW w:w="3000"/>
          </w:tcPr>
          <w:p/>
          <w:p>
            <w:pPr>
              <w:spacing w:after="0" w:before="0" w:lineRule="auto" w:line="276"/>
              <w:jc w:val="center"/>
            </w:pPr>
            <w:r>
              <w:rPr>
                <w:rFonts w:ascii="Times New Roman" w:hAnsi="Times New Roman" w:cs="Times New Roman" w:eastAsia="Times New Roman"/>
                <w:b w:val="true"/>
                <w:sz w:val="26"/>
              </w:rPr>
              <w:t>Mô tả</w:t>
            </w:r>
          </w:p>
        </w:tc>
      </w:tr>
      <w:tr>
        <w:tc>
          <w:p/>
          <w:p>
            <w:pPr>
              <w:spacing w:after="0" w:before="0" w:lineRule="auto" w:line="276"/>
              <w:jc w:val="left"/>
            </w:pPr>
            <w:r>
              <w:rPr>
                <w:rFonts w:ascii="Times New Roman" w:hAnsi="Times New Roman" w:cs="Times New Roman" w:eastAsia="Times New Roman"/>
                <w:b w:val="false"/>
                <w:sz w:val="26"/>
              </w:rPr>
              <w:t>Trực tiếp</w:t>
            </w:r>
          </w:p>
        </w:tc>
        <w:tc>
          <w:p/>
          <w:p>
            <w:pPr>
              <w:spacing w:after="0" w:before="0" w:lineRule="auto" w:line="276"/>
              <w:jc w:val="left"/>
            </w:pPr>
            <w:r>
              <w:rPr>
                <w:rFonts w:ascii="Times New Roman" w:hAnsi="Times New Roman" w:cs="Times New Roman" w:eastAsia="Times New Roman"/>
                <w:b w:val="false"/>
                <w:sz w:val="26"/>
              </w:rPr>
              <w:t>51 Ngày</w:t>
            </w:r>
          </w:p>
        </w:tc>
        <w:tc>
          <w:p/>
          <w:p>
            <w:pPr>
              <w:spacing w:after="0" w:before="0" w:lineRule="auto" w:line="276"/>
              <w:jc w:val="left"/>
            </w:pPr>
            <w:r>
              <w:rPr>
                <w:rFonts w:ascii="Times New Roman" w:hAnsi="Times New Roman" w:cs="Times New Roman" w:eastAsia="Times New Roman"/>
                <w:b w:val="false"/>
                <w:sz w:val="26"/>
              </w:rPr>
              <w:t>Phí : 200000 Đồng</w:t>
              <w:t xml:space="preserve"> (Phí cấp Giấy chứng nhận quyền liên quan đối với cuộc biểu diễn được định hình trên Bản ghi âm:)</w:t>
            </w:r>
          </w:p>
          <w:p>
            <w:pPr>
              <w:spacing w:after="0" w:before="0" w:lineRule="auto" w:line="276"/>
              <w:jc w:val="left"/>
            </w:pPr>
            <w:r>
              <w:rPr>
                <w:rFonts w:ascii="Times New Roman" w:hAnsi="Times New Roman" w:cs="Times New Roman" w:eastAsia="Times New Roman"/>
                <w:b w:val="false"/>
                <w:sz w:val="26"/>
              </w:rPr>
              <w:t>Phí : 200000 Đồng</w:t>
              <w:t xml:space="preserve"> (Phí cấp Giấy chứng nhận quyền liên quan đối với Bản ghi âm:)</w:t>
            </w:r>
          </w:p>
          <w:p>
            <w:pPr>
              <w:spacing w:after="0" w:before="0" w:lineRule="auto" w:line="276"/>
              <w:jc w:val="left"/>
            </w:pPr>
            <w:r>
              <w:rPr>
                <w:rFonts w:ascii="Times New Roman" w:hAnsi="Times New Roman" w:cs="Times New Roman" w:eastAsia="Times New Roman"/>
                <w:b w:val="false"/>
                <w:sz w:val="26"/>
              </w:rPr>
              <w:t>Phí : 300000 Đồng</w:t>
              <w:t xml:space="preserve"> (Phí cấp giấy chứng nhận quyền liên quan đối với Bản ghi hình:)</w:t>
            </w:r>
          </w:p>
          <w:p>
            <w:pPr>
              <w:spacing w:after="0" w:before="0" w:lineRule="auto" w:line="276"/>
              <w:jc w:val="left"/>
            </w:pPr>
            <w:r>
              <w:rPr>
                <w:rFonts w:ascii="Times New Roman" w:hAnsi="Times New Roman" w:cs="Times New Roman" w:eastAsia="Times New Roman"/>
                <w:b w:val="false"/>
                <w:sz w:val="26"/>
              </w:rPr>
              <w:t>Phí : 300000 Đồng</w:t>
              <w:t xml:space="preserve"> (Phí cấp Giấy chứng nhận quyền liên quan đối với cuộc biểu diễn được định hình trên Bản ghi hình)</w:t>
            </w:r>
          </w:p>
          <w:p>
            <w:pPr>
              <w:spacing w:after="0" w:before="0" w:lineRule="auto" w:line="276"/>
              <w:jc w:val="left"/>
            </w:pPr>
            <w:r>
              <w:rPr>
                <w:rFonts w:ascii="Times New Roman" w:hAnsi="Times New Roman" w:cs="Times New Roman" w:eastAsia="Times New Roman"/>
                <w:b w:val="false"/>
                <w:sz w:val="26"/>
              </w:rPr>
              <w:t>Phí : 500000 Đồng</w:t>
              <w:t xml:space="preserve"> (Phí cấp Giấy chứng nhận quyền liên quan đối với cuộc biểu diễn được định hình trên Chương trình phát sóng)</w:t>
            </w:r>
          </w:p>
          <w:p>
            <w:pPr>
              <w:spacing w:after="0" w:before="0" w:lineRule="auto" w:line="276"/>
              <w:jc w:val="left"/>
            </w:pPr>
            <w:r>
              <w:rPr>
                <w:rFonts w:ascii="Times New Roman" w:hAnsi="Times New Roman" w:cs="Times New Roman" w:eastAsia="Times New Roman"/>
                <w:b w:val="false"/>
                <w:sz w:val="26"/>
              </w:rPr>
              <w:t>Phí : 500000 Đồng</w:t>
              <w:t xml:space="preserve"> (Phí cấp Giấy chứng nhận quyền liên quan đối với Chương trình phát sóng)</w:t>
            </w:r>
          </w:p>
        </w:tc>
        <w:tc>
          <w:p/>
          <w:p>
            <w:pPr>
              <w:spacing w:after="0" w:before="0" w:lineRule="auto" w:line="276"/>
              <w:jc w:val="left"/>
            </w:pPr>
            <w:r>
              <w:rPr>
                <w:rFonts w:ascii="Times New Roman" w:hAnsi="Times New Roman" w:cs="Times New Roman" w:eastAsia="Times New Roman"/>
                <w:b w:val="false"/>
                <w:sz w:val="26"/>
              </w:rPr>
              <w:t>Thời hạn giải quyết: 
- Rà soát, phân loại, xem xét tính hợp lệ của hồ sơ: 01 tháng kể từ ngày nhận được hồ sơ;
- 15 ngày làm việc kể từ ngày hồ sơ hợp lệ.</w:t>
            </w:r>
          </w:p>
        </w:tc>
      </w:tr>
      <w:tr>
        <w:tc>
          <w:p/>
          <w:p>
            <w:pPr>
              <w:spacing w:after="0" w:before="0" w:lineRule="auto" w:line="276"/>
              <w:jc w:val="left"/>
            </w:pPr>
            <w:r>
              <w:rPr>
                <w:rFonts w:ascii="Times New Roman" w:hAnsi="Times New Roman" w:cs="Times New Roman" w:eastAsia="Times New Roman"/>
                <w:b w:val="false"/>
                <w:sz w:val="26"/>
              </w:rPr>
              <w:t>Trực tuyến</w:t>
            </w:r>
          </w:p>
        </w:tc>
        <w:tc>
          <w:p/>
          <w:p>
            <w:pPr>
              <w:spacing w:after="0" w:before="0" w:lineRule="auto" w:line="276"/>
              <w:jc w:val="left"/>
            </w:pPr>
            <w:r>
              <w:rPr>
                <w:rFonts w:ascii="Times New Roman" w:hAnsi="Times New Roman" w:cs="Times New Roman" w:eastAsia="Times New Roman"/>
                <w:b w:val="false"/>
                <w:sz w:val="26"/>
              </w:rPr>
              <w:t>51 Ngày</w:t>
            </w:r>
          </w:p>
        </w:tc>
        <w:tc>
          <w:p/>
          <w:p>
            <w:pPr>
              <w:spacing w:after="0" w:before="0" w:lineRule="auto" w:line="276"/>
              <w:jc w:val="left"/>
            </w:pPr>
            <w:r>
              <w:rPr>
                <w:rFonts w:ascii="Times New Roman" w:hAnsi="Times New Roman" w:cs="Times New Roman" w:eastAsia="Times New Roman"/>
                <w:b w:val="false"/>
                <w:sz w:val="26"/>
              </w:rPr>
              <w:t>Phí : 200000 Đồng</w:t>
              <w:t xml:space="preserve"> ((Phí cấp Giấy chứng nhận quyền liên quan đối với cuộc biểu diễn được định hình trên Bản ghi âm:))</w:t>
            </w:r>
          </w:p>
          <w:p>
            <w:pPr>
              <w:spacing w:after="0" w:before="0" w:lineRule="auto" w:line="276"/>
              <w:jc w:val="left"/>
            </w:pPr>
            <w:r>
              <w:rPr>
                <w:rFonts w:ascii="Times New Roman" w:hAnsi="Times New Roman" w:cs="Times New Roman" w:eastAsia="Times New Roman"/>
                <w:b w:val="false"/>
                <w:sz w:val="26"/>
              </w:rPr>
              <w:t>Phí : 200000 Đồng</w:t>
              <w:t xml:space="preserve"> ((Phí cấp Giấy chứng nhận quyền liên quan đối với Bản ghi âm:))</w:t>
            </w:r>
          </w:p>
          <w:p>
            <w:pPr>
              <w:spacing w:after="0" w:before="0" w:lineRule="auto" w:line="276"/>
              <w:jc w:val="left"/>
            </w:pPr>
            <w:r>
              <w:rPr>
                <w:rFonts w:ascii="Times New Roman" w:hAnsi="Times New Roman" w:cs="Times New Roman" w:eastAsia="Times New Roman"/>
                <w:b w:val="false"/>
                <w:sz w:val="26"/>
              </w:rPr>
              <w:t>Phí : 300000 Đồng</w:t>
              <w:t xml:space="preserve"> ((Phí cấp giấy chứng nhận quyền liên quan đối với Bản ghi hình:))</w:t>
            </w:r>
          </w:p>
          <w:p>
            <w:pPr>
              <w:spacing w:after="0" w:before="0" w:lineRule="auto" w:line="276"/>
              <w:jc w:val="left"/>
            </w:pPr>
            <w:r>
              <w:rPr>
                <w:rFonts w:ascii="Times New Roman" w:hAnsi="Times New Roman" w:cs="Times New Roman" w:eastAsia="Times New Roman"/>
                <w:b w:val="false"/>
                <w:sz w:val="26"/>
              </w:rPr>
              <w:t>Phí : 300000 Đồng</w:t>
              <w:t xml:space="preserve"> ((Phí cấp Giấy chứng nhận quyền liên quan đối với cuộc biểu diễn được định hình trên Bản ghi hình))</w:t>
            </w:r>
          </w:p>
          <w:p>
            <w:pPr>
              <w:spacing w:after="0" w:before="0" w:lineRule="auto" w:line="276"/>
              <w:jc w:val="left"/>
            </w:pPr>
            <w:r>
              <w:rPr>
                <w:rFonts w:ascii="Times New Roman" w:hAnsi="Times New Roman" w:cs="Times New Roman" w:eastAsia="Times New Roman"/>
                <w:b w:val="false"/>
                <w:sz w:val="26"/>
              </w:rPr>
              <w:t>Phí : 500000 Đồng</w:t>
              <w:t xml:space="preserve"> ((Phí cấp Giấy chứng nhận quyền liên quan đối với cuộc biểu diễn được định hình trên Chương trình phát sóng))</w:t>
            </w:r>
          </w:p>
          <w:p>
            <w:pPr>
              <w:spacing w:after="0" w:before="0" w:lineRule="auto" w:line="276"/>
              <w:jc w:val="left"/>
            </w:pPr>
            <w:r>
              <w:rPr>
                <w:rFonts w:ascii="Times New Roman" w:hAnsi="Times New Roman" w:cs="Times New Roman" w:eastAsia="Times New Roman"/>
                <w:b w:val="false"/>
                <w:sz w:val="26"/>
              </w:rPr>
              <w:t>Phí : 500000 Đồng</w:t>
              <w:t xml:space="preserve"> ((Phí cấp Giấy chứng nhận quyền liên quan đối với Chương trình phát sóng))</w:t>
            </w:r>
          </w:p>
        </w:tc>
        <w:tc>
          <w:p/>
          <w:p>
            <w:pPr>
              <w:spacing w:after="0" w:before="0" w:lineRule="auto" w:line="276"/>
              <w:jc w:val="left"/>
            </w:pPr>
            <w:r>
              <w:rPr>
                <w:rFonts w:ascii="Times New Roman" w:hAnsi="Times New Roman" w:cs="Times New Roman" w:eastAsia="Times New Roman"/>
                <w:b w:val="false"/>
                <w:sz w:val="26"/>
              </w:rPr>
              <w:t>- Rà soát, phân loại, xem xét tính hợp lệ của hồ sơ: 01 tháng kể từ ngày nhận được hồ sơ; 
- 15 ngày làm việc, kể từ ngày hồ sơ hợp lệ.</w:t>
            </w:r>
          </w:p>
        </w:tc>
      </w:tr>
      <w:tr>
        <w:tc>
          <w:p/>
          <w:p>
            <w:pPr>
              <w:spacing w:after="0" w:before="0" w:lineRule="auto" w:line="276"/>
              <w:jc w:val="left"/>
            </w:pPr>
            <w:r>
              <w:rPr>
                <w:rFonts w:ascii="Times New Roman" w:hAnsi="Times New Roman" w:cs="Times New Roman" w:eastAsia="Times New Roman"/>
                <w:b w:val="false"/>
                <w:sz w:val="26"/>
              </w:rPr>
              <w:t>Dịch vụ bưu chính</w:t>
            </w:r>
          </w:p>
        </w:tc>
        <w:tc>
          <w:p/>
          <w:p>
            <w:pPr>
              <w:spacing w:after="0" w:before="0" w:lineRule="auto" w:line="276"/>
              <w:jc w:val="left"/>
            </w:pPr>
            <w:r>
              <w:rPr>
                <w:rFonts w:ascii="Times New Roman" w:hAnsi="Times New Roman" w:cs="Times New Roman" w:eastAsia="Times New Roman"/>
                <w:b w:val="false"/>
                <w:sz w:val="26"/>
              </w:rPr>
              <w:t>51 Ngày</w:t>
            </w:r>
          </w:p>
        </w:tc>
        <w:tc>
          <w:p/>
          <w:p>
            <w:pPr>
              <w:spacing w:after="0" w:before="0" w:lineRule="auto" w:line="276"/>
              <w:jc w:val="left"/>
            </w:pPr>
            <w:r>
              <w:rPr>
                <w:rFonts w:ascii="Times New Roman" w:hAnsi="Times New Roman" w:cs="Times New Roman" w:eastAsia="Times New Roman"/>
                <w:b w:val="false"/>
                <w:sz w:val="26"/>
              </w:rPr>
              <w:t>Phí : 200000 Đồng</w:t>
              <w:t xml:space="preserve"> (Phí cấp Giấy chứng nhận quyền liên quan đối với cuộc biểu diễn được định hình trên Bản ghi âm:)</w:t>
            </w:r>
          </w:p>
          <w:p>
            <w:pPr>
              <w:spacing w:after="0" w:before="0" w:lineRule="auto" w:line="276"/>
              <w:jc w:val="left"/>
            </w:pPr>
            <w:r>
              <w:rPr>
                <w:rFonts w:ascii="Times New Roman" w:hAnsi="Times New Roman" w:cs="Times New Roman" w:eastAsia="Times New Roman"/>
                <w:b w:val="false"/>
                <w:sz w:val="26"/>
              </w:rPr>
              <w:t>Phí : 200000 Đồng</w:t>
              <w:t xml:space="preserve"> (Phí cấp Giấy chứng nhận quyền liên quan đối với Bản ghi âm:)</w:t>
            </w:r>
          </w:p>
          <w:p>
            <w:pPr>
              <w:spacing w:after="0" w:before="0" w:lineRule="auto" w:line="276"/>
              <w:jc w:val="left"/>
            </w:pPr>
            <w:r>
              <w:rPr>
                <w:rFonts w:ascii="Times New Roman" w:hAnsi="Times New Roman" w:cs="Times New Roman" w:eastAsia="Times New Roman"/>
                <w:b w:val="false"/>
                <w:sz w:val="26"/>
              </w:rPr>
              <w:t>Phí : 300000 Đồng</w:t>
              <w:t xml:space="preserve"> (Phí cấp giấy chứng nhận quyền liên quan đối với Bản ghi hình:)</w:t>
            </w:r>
          </w:p>
          <w:p>
            <w:pPr>
              <w:spacing w:after="0" w:before="0" w:lineRule="auto" w:line="276"/>
              <w:jc w:val="left"/>
            </w:pPr>
            <w:r>
              <w:rPr>
                <w:rFonts w:ascii="Times New Roman" w:hAnsi="Times New Roman" w:cs="Times New Roman" w:eastAsia="Times New Roman"/>
                <w:b w:val="false"/>
                <w:sz w:val="26"/>
              </w:rPr>
              <w:t>Phí : 300000 Đồng</w:t>
              <w:t xml:space="preserve"> (Phí cấp Giấy chứng nhận quyền liên quan đối với cuộc biểu diễn được định hình trên Bản ghi hình)</w:t>
            </w:r>
          </w:p>
          <w:p>
            <w:pPr>
              <w:spacing w:after="0" w:before="0" w:lineRule="auto" w:line="276"/>
              <w:jc w:val="left"/>
            </w:pPr>
            <w:r>
              <w:rPr>
                <w:rFonts w:ascii="Times New Roman" w:hAnsi="Times New Roman" w:cs="Times New Roman" w:eastAsia="Times New Roman"/>
                <w:b w:val="false"/>
                <w:sz w:val="26"/>
              </w:rPr>
              <w:t>Phí : 500000 Đồng</w:t>
              <w:t xml:space="preserve"> (Phí cấp Giấy chứng nhận quyền liên quan đối với cuộc biểu diễn được định hình trên Chương trình phát sóng)</w:t>
            </w:r>
          </w:p>
          <w:p>
            <w:pPr>
              <w:spacing w:after="0" w:before="0" w:lineRule="auto" w:line="276"/>
              <w:jc w:val="left"/>
            </w:pPr>
            <w:r>
              <w:rPr>
                <w:rFonts w:ascii="Times New Roman" w:hAnsi="Times New Roman" w:cs="Times New Roman" w:eastAsia="Times New Roman"/>
                <w:b w:val="false"/>
                <w:sz w:val="26"/>
              </w:rPr>
              <w:t>Phí : 500000 Đồng</w:t>
              <w:t xml:space="preserve"> (Phí cấp Giấy chứng nhận quyền liên quan đối với Chương trình phát sóng)</w:t>
            </w:r>
          </w:p>
        </w:tc>
        <w:tc>
          <w:p/>
          <w:p>
            <w:pPr>
              <w:spacing w:after="0" w:before="0" w:lineRule="auto" w:line="276"/>
              <w:jc w:val="left"/>
            </w:pPr>
            <w:r>
              <w:rPr>
                <w:rFonts w:ascii="Times New Roman" w:hAnsi="Times New Roman" w:cs="Times New Roman" w:eastAsia="Times New Roman"/>
                <w:b w:val="false"/>
                <w:sz w:val="26"/>
              </w:rPr>
              <w:t>Thời hạn giải quyết: 
- Rà soát, phân loại, xem xét tính hợp lệ của hồ sơ: 01 tháng kể từ ngày nhận được hồ sơ;
- 15 ngày làm việc kể từ ngày hồ sơ hợp lệ.</w:t>
            </w:r>
          </w:p>
        </w:tc>
      </w:tr>
    </w:tbl>
    <w:p>
      <w:pPr>
        <w:spacing w:after="0" w:before="240" w:lineRule="auto" w:line="276"/>
        <w:jc w:val="both"/>
      </w:pPr>
      <w:r>
        <w:rPr>
          <w:rFonts w:ascii="Times New Roman" w:hAnsi="Times New Roman" w:cs="Times New Roman" w:eastAsia="Times New Roman"/>
          <w:b w:val="true"/>
          <w:sz w:val="26"/>
        </w:rPr>
        <w:t xml:space="preserve">Thành phần hồ sơ: </w:t>
      </w:r>
    </w:p>
    <w:p>
      <w:pPr>
        <w:shd w:val="clear" w:color="auto" w:fill="F2F6F9"/>
        <w:spacing w:after="0" w:before="120" w:lineRule="auto" w:line="276"/>
        <w:jc w:val="both"/>
      </w:pPr>
      <w:r>
        <w:rPr>
          <w:rFonts w:ascii="Times New Roman" w:hAnsi="Times New Roman" w:cs="Times New Roman" w:eastAsia="Times New Roman"/>
          <w:b w:val="true"/>
          <w:sz w:val="26"/>
        </w:rPr>
        <w:t xml:space="preserve">Thủ tục cấp Giấy chứng nhận đăng ký quyền liên quan </w:t>
      </w:r>
    </w:p>
    <w:tbl>
      <w:tblPr>
        <w:tblW w:w="0" w:type="auto"/>
        <w:tblBorders>
          <w:top w:val="single"/>
          <w:left w:val="single"/>
          <w:bottom w:val="single"/>
          <w:right w:val="single"/>
          <w:insideH w:val="single"/>
          <w:insideV w:val="single"/>
        </w:tblBorders>
      </w:tblPr>
      <w:tr>
        <w:tc>
          <w:tcPr>
            <w:tcW w:w="6000"/>
          </w:tcPr>
          <w:p/>
          <w:p>
            <w:pPr>
              <w:spacing w:after="0" w:before="0" w:lineRule="auto" w:line="276"/>
              <w:jc w:val="center"/>
            </w:pPr>
            <w:r>
              <w:rPr>
                <w:rFonts w:ascii="Times New Roman" w:hAnsi="Times New Roman" w:cs="Times New Roman" w:eastAsia="Times New Roman"/>
                <w:b w:val="true"/>
                <w:sz w:val="26"/>
              </w:rPr>
              <w:t>Tên giấy tờ</w:t>
            </w:r>
          </w:p>
        </w:tc>
        <w:tc>
          <w:tcPr>
            <w:tcW w:w="2000"/>
          </w:tcPr>
          <w:p/>
          <w:p>
            <w:pPr>
              <w:spacing w:after="0" w:before="0" w:lineRule="auto" w:line="276"/>
              <w:jc w:val="center"/>
            </w:pPr>
            <w:r>
              <w:rPr>
                <w:rFonts w:ascii="Times New Roman" w:hAnsi="Times New Roman" w:cs="Times New Roman" w:eastAsia="Times New Roman"/>
                <w:b w:val="true"/>
                <w:sz w:val="26"/>
              </w:rPr>
              <w:t>Mẫu đơn, tờ khai</w:t>
            </w:r>
          </w:p>
        </w:tc>
        <w:tc>
          <w:tcPr>
            <w:tcW w:w="2000"/>
          </w:tcPr>
          <w:p/>
          <w:p>
            <w:pPr>
              <w:spacing w:after="0" w:before="0" w:lineRule="auto" w:line="276"/>
              <w:jc w:val="center"/>
            </w:pPr>
            <w:r>
              <w:rPr>
                <w:rFonts w:ascii="Times New Roman" w:hAnsi="Times New Roman" w:cs="Times New Roman" w:eastAsia="Times New Roman"/>
                <w:b w:val="true"/>
                <w:sz w:val="26"/>
              </w:rPr>
              <w:t>Số lượng</w:t>
            </w:r>
          </w:p>
        </w:tc>
      </w:tr>
      <w:tr>
        <w:tc>
          <w:p/>
          <w:p>
            <w:pPr>
              <w:spacing w:after="0" w:before="0" w:lineRule="auto" w:line="276"/>
              <w:jc w:val="left"/>
            </w:pPr>
            <w:r>
              <w:rPr>
                <w:rFonts w:ascii="Times New Roman" w:hAnsi="Times New Roman" w:cs="Times New Roman" w:eastAsia="Times New Roman"/>
                <w:b w:val="false"/>
                <w:sz w:val="26"/>
              </w:rPr>
              <w:t>(1) Tờ khai đăng ký quyền liên quan (Mẫu số 09 ban hành kèm theo Thông tư số 08/2023/QĐ-BVHTT ngày 02 tháng 6 năm 2023 quy định các mẫu trong hoạt động đăng ký quyền tác giả, quyền liên quan).  Tờ khai phải được làm bằng tiếng Việt có đầy đủ thông tin về người nộp hồ sơ, chủ sở hữu quyền liên quan; thời gian hoàn thành; tóm tắt nội dung cuộc biểu diễn, bản ghi âm, ghi hình hoặc chương trình phát sóng; thời gian, địa điểm, hình thức công bố; thông tin về cấp lại, cấp đổi (nếu có), cam đoan về trách nhiệm đối với các thông tin ghi trong tờ khai. Tờ khai do chính chủ sở hữu quyền liên quan ký tên hoặc điểm chỉ, trừ trường hợp không có khả năng về thể chất để ký tên hoặc điểm chỉ;</w:t>
            </w:r>
          </w:p>
        </w:tc>
        <w:tc>
          <w:p/>
          <w:p>
            <w:pPr>
              <w:spacing w:after="0" w:before="0" w:lineRule="auto" w:line="276"/>
              <w:jc w:val="left"/>
            </w:pPr>
            <w:r>
              <w:rPr>
                <w:rFonts w:ascii="Times New Roman" w:hAnsi="Times New Roman" w:cs="Times New Roman" w:eastAsia="Times New Roman"/>
                <w:b w:val="false"/>
                <w:sz w:val="26"/>
              </w:rPr>
              <w:t>Mẫu số 09.docx</w:t>
            </w:r>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1</w:t>
            </w:r>
          </w:p>
        </w:tc>
      </w:tr>
      <w:tr>
        <w:tc>
          <w:p/>
          <w:p>
            <w:pPr>
              <w:spacing w:after="0" w:before="0" w:lineRule="auto" w:line="276"/>
              <w:jc w:val="left"/>
            </w:pPr>
            <w:r>
              <w:rPr>
                <w:rFonts w:ascii="Times New Roman" w:hAnsi="Times New Roman" w:cs="Times New Roman" w:eastAsia="Times New Roman"/>
                <w:b w:val="false"/>
                <w:sz w:val="26"/>
              </w:rPr>
              <w:t>(2) Hai bản sao định hình đối tượng đăng ký quyền liên quan;</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1</w:t>
            </w:r>
          </w:p>
        </w:tc>
      </w:tr>
      <w:tr>
        <w:tc>
          <w:p/>
          <w:p>
            <w:pPr>
              <w:spacing w:after="0" w:before="0" w:lineRule="auto" w:line="276"/>
              <w:jc w:val="left"/>
            </w:pPr>
            <w:r>
              <w:rPr>
                <w:rFonts w:ascii="Times New Roman" w:hAnsi="Times New Roman" w:cs="Times New Roman" w:eastAsia="Times New Roman"/>
                <w:b w:val="false"/>
                <w:sz w:val="26"/>
              </w:rPr>
              <w:t>(3) Văn bản ủy quyền, nếu người nộp hồ sơ là người được ủy quyền. Văn bản ủy quyền phải ghi cụ thể thông tin liên hệ của bên ủy quyền và bên nhận ủy quyền; tên cuộc biểu diễn, bản ghi âm, ghi hình, chương trình phát sóng; phạm vi ủy quyền, thời hạn ủy quyền;</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1</w:t>
            </w:r>
          </w:p>
        </w:tc>
      </w:tr>
      <w:tr>
        <w:tc>
          <w:p/>
          <w:p>
            <w:pPr>
              <w:spacing w:after="0" w:before="0" w:lineRule="auto" w:line="276"/>
              <w:jc w:val="left"/>
            </w:pPr>
            <w:r>
              <w:rPr>
                <w:rFonts w:ascii="Times New Roman" w:hAnsi="Times New Roman" w:cs="Times New Roman" w:eastAsia="Times New Roman"/>
                <w:b w:val="false"/>
                <w:sz w:val="26"/>
              </w:rPr>
              <w:t>(5) Văn bản đồng ý của các đồng chủ sở hữu, nếu quyền liên quan thuộc sở hữu chung. Tài liệu quy định tại các điểm 3, 4 và 5 trên đây phải được làm bằng tiếng Việt; trường hợp làm bằng ngôn ngữ khác thì phải được dịch ra tiếng Việt (có công chứng hoặc hợp pháp hóa lãnh sự); phải được đánh máy hoặc in bằng loại mực khó phai mờ, rõ ràng, sạch sẽ, không tẩy xóa, không sửa chữa; trường hợp phát hiện có sai sót không đáng kể thuộc về lỗi chính tả trong tài liệu đã nộp thì cá nhân, tổ chức nộp hồ sơ có thể sửa chữa các lỗi đó, nhưng tại chỗ bị sửa chữa phải có chữ ký xác nhận (và đóng dấu, nếu có) của cá nhân, tổ chức nộp hồ sơ.</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1</w:t>
            </w:r>
          </w:p>
        </w:tc>
      </w:tr>
      <w:tr>
        <w:tc>
          <w:p/>
          <w:p>
            <w:pPr>
              <w:spacing w:after="0" w:before="0" w:lineRule="auto" w:line="276"/>
              <w:jc w:val="left"/>
            </w:pPr>
            <w:r>
              <w:rPr>
                <w:rFonts w:ascii="Times New Roman" w:hAnsi="Times New Roman" w:cs="Times New Roman" w:eastAsia="Times New Roman"/>
                <w:b w:val="false"/>
                <w:sz w:val="26"/>
              </w:rPr>
              <w:t>- Số lượng hồ sơ: 01 bộ. * Từ chối cấp Giấy chứng nhận đăng ký quyền liên quan và trả hồ sơ, thông báo bằng văn bản trong các trường hợp sau: - Không đáp ứng các điều kiện quy định tại khoản 4 Điều 38 Nghị định 17/2023/NĐ-CP ngày ngày 26 tháng 4 năm 2023; - Phát hiện cuộc biểu diễn, bản ghi âm, ghi hình, chương trình phát sóng có hình thức hoặc nội dung: Vi phạm các quy định của Hiến pháp, pháp luật; chống phá Đảng, Nhà nước Cộng hòa xã hội chủ nghĩa Việt Nam; trái với đạo đức, thuần phong, mỹ tục của dân tộc; mê tín dị đoan và các nội dung khác theo quy định của pháp luật; - Phát hiện cuộc biểu diễn, bản ghi âm, ghi hình, chương trình phát sóng đang có tranh chấp, khiếu nại, tố cáo và chưa có quyết định có hiệu lực pháp luật của cơ quan có thẩm quyền, Tòa án hoặc Trọng tài; - Hết thời hạn 01 tháng kể từ ngày nhận được thông báo sửa đổi, bổ sung, trừ trường hợp xảy ra sự kiện bất khả kháng hoặc trở ngại khách quan theo quy định của pháp luật mà cơ quan nhà nước có thẩm quyền không nhận được hồ sơ hợp lệ hoặc hồ sơ đã nộp lại vẫn không hợp lệ.</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1</w:t>
            </w:r>
          </w:p>
        </w:tc>
      </w:tr>
      <w:tr>
        <w:tc>
          <w:p/>
          <w:p>
            <w:pPr>
              <w:spacing w:after="0" w:before="0" w:lineRule="auto" w:line="276"/>
              <w:jc w:val="left"/>
            </w:pPr>
            <w:r>
              <w:rPr>
                <w:rFonts w:ascii="Times New Roman" w:hAnsi="Times New Roman" w:cs="Times New Roman" w:eastAsia="Times New Roman"/>
                <w:b w:val="false"/>
                <w:sz w:val="26"/>
              </w:rPr>
              <w:t>(4) Tài liệu chứng minh là chủ sở hữu quyền do tự sáng tạo hoặc do giao nhiệm vụ sáng tạo, giao kết hợp đồng sáng tạo, được thừa kế, được chuyển giao quyền: - Tài liệu chứng minh nhân thân đối với cá nhân được khai thác, sử dụng từ Cơ sở dữ liệu quốc gia về dân cư. Trường hợp không tra cứu được thông tin hoặc thông tin không đầy đủ thì yêu cầu cá nhân nộp 01 bản sao Chứng minh nhân dân hoặc Căn cước công dân hoặc Hộ chiếu; - Tài liệu chứng minh tư cách pháp lý đối với tổ chức được khai thác, sử dụng từ Cơ sở dữ liệu quốc gia về đăng ký doanh nghiệp. Trường hợp không phải doanh nghiệp thì nộp 01 bản sao Giấy phép thành lập hoặc Quyết định thành lập; - Tài liệu chứng minh chủ sở hữu quyền do giao nhiệm vụ sáng tạo là quyết định giao nhiệm vụ hoặc xác nhận giao nhiệm vụ cho cá nhân thuộc đơn vị, tổ chức đó; - Tài liệu chứng minh chủ sở hữu quyền do giao kết hợp đồng sáng tạo là hợp đồng, thể lệ, quy chế tổ chức cuộc thi; - Tài liệu chứng minh chủ sở hữu quyền do được thừa kế là văn bản xác định quyền thừa kế có công chứng, chứng thực theo quy định của pháp luật; - Tài liệu chứng minh chủ sở hữu quyền do được chuyển giao quyền là hợp đồng chuyển nhượng, tặng cho, mua bán, góp vốn bằng văn bản có công chứng, chứng thực theo quy định của pháp luật; - Tài liệu chứng minh chủ sở hữu quyền do giao nhiệm vụ sáng tạo, giao kết hợp đồng sáng tạo quy định tại khoản này phải là bản gốc hoặc bản sao có công chứng, chứng thực.</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1</w:t>
            </w:r>
          </w:p>
        </w:tc>
      </w:tr>
    </w:tbl>
    <w:p>
      <w:pPr>
        <w:spacing w:after="0" w:before="240" w:lineRule="auto" w:line="276"/>
        <w:jc w:val="both"/>
      </w:pPr>
      <w:r>
        <w:rPr>
          <w:rFonts w:ascii="Times New Roman" w:hAnsi="Times New Roman" w:cs="Times New Roman" w:eastAsia="Times New Roman"/>
          <w:b w:val="true"/>
          <w:sz w:val="26"/>
        </w:rPr>
        <w:t xml:space="preserve">Đối tượng thực hiện: </w:t>
      </w:r>
      <w:r>
        <w:rPr>
          <w:rFonts w:ascii="Times New Roman" w:hAnsi="Times New Roman" w:cs="Times New Roman" w:eastAsia="Times New Roman"/>
          <w:b w:val="false"/>
          <w:sz w:val="26"/>
        </w:rPr>
        <w:t>Công dân Việt Nam, Người Việt Nam định cư ở nước ngoài, Cán bộ, công chức, viên chức, Doanh nghiệp, Doanh nghiệp có vốn đầu tư nước ngoài, Tổ chức (không bao gồm doanh nghiệp, HTX), Hợp tác xã</w:t>
      </w:r>
    </w:p>
    <w:p>
      <w:pPr>
        <w:spacing w:after="0" w:before="0" w:lineRule="auto" w:line="276"/>
        <w:jc w:val="both"/>
      </w:pPr>
      <w:r>
        <w:rPr>
          <w:rFonts w:ascii="Times New Roman" w:hAnsi="Times New Roman" w:cs="Times New Roman" w:eastAsia="Times New Roman"/>
          <w:b w:val="true"/>
          <w:sz w:val="26"/>
        </w:rPr>
        <w:t xml:space="preserve">Cơ quan thực hiện: </w:t>
      </w:r>
      <w:r>
        <w:rPr>
          <w:rFonts w:ascii="Times New Roman" w:hAnsi="Times New Roman" w:cs="Times New Roman" w:eastAsia="Times New Roman"/>
          <w:b w:val="false"/>
          <w:sz w:val="26"/>
        </w:rPr>
        <w:t>Cục Bản quyền tác giả  - Bộ Văn hóa, Thể thao và Du lịch</w:t>
      </w:r>
    </w:p>
    <w:p>
      <w:pPr>
        <w:spacing w:after="0" w:before="0" w:lineRule="auto" w:line="276"/>
        <w:jc w:val="both"/>
      </w:pPr>
      <w:r>
        <w:rPr>
          <w:rFonts w:ascii="Times New Roman" w:hAnsi="Times New Roman" w:cs="Times New Roman" w:eastAsia="Times New Roman"/>
          <w:b w:val="true"/>
          <w:sz w:val="26"/>
        </w:rPr>
        <w:t xml:space="preserve">Cơ quan có thẩm quyền: </w:t>
      </w:r>
      <w:r>
        <w:rPr>
          <w:rFonts w:ascii="Times New Roman" w:hAnsi="Times New Roman" w:cs="Times New Roman" w:eastAsia="Times New Roman"/>
          <w:b w:val="false"/>
          <w:sz w:val="26"/>
        </w:rPr>
        <w:t>Bộ Văn hóa, Thể thao và Du lịch</w:t>
      </w:r>
    </w:p>
    <w:p>
      <w:pPr>
        <w:spacing w:after="0" w:before="0" w:lineRule="auto" w:line="276"/>
        <w:jc w:val="both"/>
      </w:pPr>
      <w:r>
        <w:rPr>
          <w:rFonts w:ascii="Times New Roman" w:hAnsi="Times New Roman" w:cs="Times New Roman" w:eastAsia="Times New Roman"/>
          <w:b w:val="true"/>
          <w:sz w:val="26"/>
        </w:rPr>
        <w:t xml:space="preserve">Địa chỉ tiếp nhận HS: </w:t>
      </w:r>
      <w:r>
        <w:rPr>
          <w:rFonts w:ascii="Times New Roman" w:hAnsi="Times New Roman" w:cs="Times New Roman" w:eastAsia="Times New Roman"/>
          <w:b w:val="false"/>
          <w:sz w:val="26"/>
        </w:rPr>
        <w:t>Nộp trực tiếp, qua dịch vụ bưu chính đến Cục Bản quyền tác giả, Điểm tiếp nhận hồ sơ của Cục Bản quyền tác giả tại thành phố Hồ Chí Minh, Điểm tiếp nhận hồ sơ của Cục Bản quyền tác giả tại thành phố Đà Nẵng hoặc qua Cổng dịch vụ công trực tuyến Bộ Văn hóa, Thể thao và Du lịch về lĩnh vực quyền tác giả, quyền liên quan (hồ sơ bản gốc (bản giấy) được gửi tới Cục Bản quyền tác giả theo cách thức trực tiếp hoặc qua dịch vụ bưu chính).</w:t>
      </w:r>
    </w:p>
    <w:p>
      <w:pPr>
        <w:spacing w:after="0" w:before="0" w:lineRule="auto" w:line="276"/>
        <w:jc w:val="both"/>
      </w:pPr>
      <w:r>
        <w:rPr>
          <w:rFonts w:ascii="Times New Roman" w:hAnsi="Times New Roman" w:cs="Times New Roman" w:eastAsia="Times New Roman"/>
          <w:b w:val="true"/>
          <w:sz w:val="26"/>
        </w:rPr>
        <w:t xml:space="preserve">Cơ quan được ủy quyền: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Cơ quan phối hợp: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Kết quả thực hiện: </w:t>
      </w:r>
      <w:r>
        <w:rPr>
          <w:rFonts w:ascii="Times New Roman" w:hAnsi="Times New Roman" w:cs="Times New Roman" w:eastAsia="Times New Roman"/>
          <w:b w:val="false"/>
          <w:sz w:val="26"/>
        </w:rPr>
        <w:t>Đang cập nhật</w:t>
      </w:r>
    </w:p>
    <w:p>
      <w:pPr>
        <w:spacing w:after="0" w:before="0" w:lineRule="auto" w:line="276"/>
        <w:jc w:val="both"/>
      </w:pPr>
      <w:r>
        <w:rPr>
          <w:rFonts w:ascii="Times New Roman" w:hAnsi="Times New Roman" w:cs="Times New Roman" w:eastAsia="Times New Roman"/>
          <w:b w:val="true"/>
          <w:sz w:val="26"/>
        </w:rPr>
        <w:t xml:space="preserve">Căn cứ pháp lý: </w:t>
      </w:r>
    </w:p>
    <w:tbl>
      <w:tblPr>
        <w:tblW w:w="0" w:type="auto"/>
        <w:tblBorders>
          <w:top w:val="single"/>
          <w:left w:val="single"/>
          <w:bottom w:val="single"/>
          <w:right w:val="single"/>
          <w:insideH w:val="single"/>
          <w:insideV w:val="single"/>
        </w:tblBorders>
      </w:tblPr>
      <w:tr>
        <w:tc>
          <w:tcPr>
            <w:tcW w:w="2000"/>
          </w:tcPr>
          <w:p/>
          <w:p>
            <w:pPr>
              <w:spacing w:after="0" w:before="0" w:lineRule="auto" w:line="276"/>
              <w:jc w:val="center"/>
            </w:pPr>
            <w:r>
              <w:rPr>
                <w:rFonts w:ascii="Times New Roman" w:hAnsi="Times New Roman" w:cs="Times New Roman" w:eastAsia="Times New Roman"/>
                <w:b w:val="true"/>
                <w:sz w:val="26"/>
              </w:rPr>
              <w:t>Số ký hiệu</w:t>
            </w:r>
          </w:p>
        </w:tc>
        <w:tc>
          <w:tcPr>
            <w:tcW w:w="3500"/>
          </w:tcPr>
          <w:p/>
          <w:p>
            <w:pPr>
              <w:spacing w:after="0" w:before="0" w:lineRule="auto" w:line="276"/>
              <w:jc w:val="center"/>
            </w:pPr>
            <w:r>
              <w:rPr>
                <w:rFonts w:ascii="Times New Roman" w:hAnsi="Times New Roman" w:cs="Times New Roman" w:eastAsia="Times New Roman"/>
                <w:b w:val="true"/>
                <w:sz w:val="26"/>
              </w:rPr>
              <w:t>Trích yếu</w:t>
            </w:r>
          </w:p>
        </w:tc>
        <w:tc>
          <w:tcPr>
            <w:tcW w:w="1500"/>
          </w:tcPr>
          <w:p/>
          <w:p>
            <w:pPr>
              <w:spacing w:after="0" w:before="0" w:lineRule="auto" w:line="276"/>
              <w:jc w:val="center"/>
            </w:pPr>
            <w:r>
              <w:rPr>
                <w:rFonts w:ascii="Times New Roman" w:hAnsi="Times New Roman" w:cs="Times New Roman" w:eastAsia="Times New Roman"/>
                <w:b w:val="true"/>
                <w:sz w:val="26"/>
              </w:rPr>
              <w:t>Ngày ban hành</w:t>
            </w:r>
          </w:p>
        </w:tc>
        <w:tc>
          <w:tcPr>
            <w:tcW w:w="3000"/>
          </w:tcPr>
          <w:p/>
          <w:p>
            <w:pPr>
              <w:spacing w:after="0" w:before="0" w:lineRule="auto" w:line="276"/>
              <w:jc w:val="center"/>
            </w:pPr>
            <w:r>
              <w:rPr>
                <w:rFonts w:ascii="Times New Roman" w:hAnsi="Times New Roman" w:cs="Times New Roman" w:eastAsia="Times New Roman"/>
                <w:b w:val="true"/>
                <w:sz w:val="26"/>
              </w:rPr>
              <w:t>Cơ quan ban hành</w:t>
            </w:r>
          </w:p>
        </w:tc>
      </w:tr>
      <w:tr>
        <w:tc>
          <w:p/>
          <w:p>
            <w:pPr>
              <w:spacing w:after="0" w:before="0" w:lineRule="auto" w:line="276"/>
              <w:jc w:val="left"/>
            </w:pPr>
            <w:r>
              <w:rPr>
                <w:rFonts w:ascii="Times New Roman" w:hAnsi="Times New Roman" w:cs="Times New Roman" w:eastAsia="Times New Roman"/>
                <w:b w:val="false"/>
                <w:sz w:val="26"/>
              </w:rPr>
              <w:t xml:space="preserve">50/2005/QH11 </w:t>
            </w:r>
          </w:p>
        </w:tc>
        <w:tc>
          <w:p/>
          <w:p>
            <w:pPr>
              <w:spacing w:after="0" w:before="0" w:lineRule="auto" w:line="276"/>
              <w:jc w:val="left"/>
            </w:pPr>
            <w:r>
              <w:rPr>
                <w:rFonts w:ascii="Times New Roman" w:hAnsi="Times New Roman" w:cs="Times New Roman" w:eastAsia="Times New Roman"/>
                <w:b w:val="false"/>
                <w:sz w:val="26"/>
              </w:rPr>
              <w:t>Luật 50/2005/QH11</w:t>
            </w:r>
          </w:p>
        </w:tc>
        <w:tc>
          <w:p/>
          <w:p>
            <w:pPr>
              <w:spacing w:after="0" w:before="0" w:lineRule="auto" w:line="276"/>
              <w:jc w:val="left"/>
            </w:pPr>
            <w:r>
              <w:rPr>
                <w:rFonts w:ascii="Times New Roman" w:hAnsi="Times New Roman" w:cs="Times New Roman" w:eastAsia="Times New Roman"/>
                <w:b w:val="false"/>
                <w:sz w:val="26"/>
              </w:rPr>
              <w:t>29-11-2005</w:t>
            </w:r>
          </w:p>
        </w:tc>
        <w:tc>
          <w:p/>
          <w:p>
            <w:pPr>
              <w:spacing w:after="0" w:before="0" w:lineRule="auto" w:line="276"/>
              <w:jc w:val="left"/>
            </w:pPr>
            <w:r>
              <w:rPr>
                <w:rFonts w:ascii="Times New Roman" w:hAnsi="Times New Roman" w:cs="Times New Roman" w:eastAsia="Times New Roman"/>
                <w:b w:val="false"/>
                <w:sz w:val="26"/>
              </w:rPr>
              <w:t>Quốc Hội</w:t>
            </w:r>
          </w:p>
        </w:tc>
      </w:tr>
      <w:tr>
        <w:tc>
          <w:p/>
          <w:p>
            <w:pPr>
              <w:spacing w:after="0" w:before="0" w:lineRule="auto" w:line="276"/>
              <w:jc w:val="left"/>
            </w:pPr>
            <w:r>
              <w:rPr>
                <w:rFonts w:ascii="Times New Roman" w:hAnsi="Times New Roman" w:cs="Times New Roman" w:eastAsia="Times New Roman"/>
                <w:b w:val="false"/>
                <w:sz w:val="26"/>
              </w:rPr>
              <w:t xml:space="preserve">36/2009/QH12 </w:t>
            </w:r>
          </w:p>
        </w:tc>
        <w:tc>
          <w:p/>
          <w:p>
            <w:pPr>
              <w:spacing w:after="0" w:before="0" w:lineRule="auto" w:line="276"/>
              <w:jc w:val="left"/>
            </w:pPr>
            <w:r>
              <w:rPr>
                <w:rFonts w:ascii="Times New Roman" w:hAnsi="Times New Roman" w:cs="Times New Roman" w:eastAsia="Times New Roman"/>
                <w:b w:val="false"/>
                <w:sz w:val="26"/>
              </w:rPr>
              <w:t>Luật 36/2009/QH12</w:t>
            </w:r>
          </w:p>
        </w:tc>
        <w:tc>
          <w:p/>
          <w:p>
            <w:pPr>
              <w:spacing w:after="0" w:before="0" w:lineRule="auto" w:line="276"/>
              <w:jc w:val="left"/>
            </w:pPr>
            <w:r>
              <w:rPr>
                <w:rFonts w:ascii="Times New Roman" w:hAnsi="Times New Roman" w:cs="Times New Roman" w:eastAsia="Times New Roman"/>
                <w:b w:val="false"/>
                <w:sz w:val="26"/>
              </w:rPr>
              <w:t>19-06-2009</w:t>
            </w:r>
          </w:p>
        </w:tc>
        <w:tc>
          <w:p/>
          <w:p>
            <w:pPr>
              <w:spacing w:after="0" w:before="0" w:lineRule="auto" w:line="276"/>
              <w:jc w:val="left"/>
            </w:pPr>
            <w:r>
              <w:rPr>
                <w:rFonts w:ascii="Times New Roman" w:hAnsi="Times New Roman" w:cs="Times New Roman" w:eastAsia="Times New Roman"/>
                <w:b w:val="false"/>
                <w:sz w:val="26"/>
              </w:rPr>
              <w:t>Quốc Hội</w:t>
            </w:r>
          </w:p>
        </w:tc>
      </w:tr>
      <w:tr>
        <w:tc>
          <w:p/>
          <w:p>
            <w:pPr>
              <w:spacing w:after="0" w:before="0" w:lineRule="auto" w:line="276"/>
              <w:jc w:val="left"/>
            </w:pPr>
            <w:r>
              <w:rPr>
                <w:rFonts w:ascii="Times New Roman" w:hAnsi="Times New Roman" w:cs="Times New Roman" w:eastAsia="Times New Roman"/>
                <w:b w:val="false"/>
                <w:sz w:val="26"/>
              </w:rPr>
              <w:t xml:space="preserve">22/2018/NĐ-CP </w:t>
            </w:r>
          </w:p>
        </w:tc>
        <w:tc>
          <w:p/>
          <w:p>
            <w:pPr>
              <w:spacing w:after="0" w:before="0" w:lineRule="auto" w:line="276"/>
              <w:jc w:val="left"/>
            </w:pPr>
            <w:r>
              <w:rPr>
                <w:rFonts w:ascii="Times New Roman" w:hAnsi="Times New Roman" w:cs="Times New Roman" w:eastAsia="Times New Roman"/>
                <w:b w:val="false"/>
                <w:sz w:val="26"/>
              </w:rPr>
              <w:t>Nghị định 22/2018/NĐ-CP</w:t>
            </w:r>
          </w:p>
        </w:tc>
        <w:tc>
          <w:p/>
          <w:p>
            <w:pPr>
              <w:spacing w:after="0" w:before="0" w:lineRule="auto" w:line="276"/>
              <w:jc w:val="left"/>
            </w:pPr>
            <w:r>
              <w:rPr>
                <w:rFonts w:ascii="Times New Roman" w:hAnsi="Times New Roman" w:cs="Times New Roman" w:eastAsia="Times New Roman"/>
                <w:b w:val="false"/>
                <w:sz w:val="26"/>
              </w:rPr>
              <w:t>22-02-2018</w:t>
            </w:r>
          </w:p>
        </w:tc>
        <w:tc>
          <w:p/>
          <w:p>
            <w:pPr>
              <w:spacing w:after="0" w:before="0" w:lineRule="auto" w:line="276"/>
              <w:jc w:val="left"/>
            </w:pPr>
            <w:r>
              <w:rPr>
                <w:rFonts w:ascii="Times New Roman" w:hAnsi="Times New Roman" w:cs="Times New Roman" w:eastAsia="Times New Roman"/>
                <w:b w:val="false"/>
                <w:sz w:val="26"/>
              </w:rPr>
              <w:t>Quốc Hội</w:t>
            </w:r>
          </w:p>
        </w:tc>
      </w:tr>
      <w:tr>
        <w:tc>
          <w:p/>
          <w:p>
            <w:pPr>
              <w:spacing w:after="0" w:before="0" w:lineRule="auto" w:line="276"/>
              <w:jc w:val="left"/>
            </w:pPr>
            <w:r>
              <w:rPr>
                <w:rFonts w:ascii="Times New Roman" w:hAnsi="Times New Roman" w:cs="Times New Roman" w:eastAsia="Times New Roman"/>
                <w:b w:val="false"/>
                <w:sz w:val="26"/>
              </w:rPr>
              <w:t xml:space="preserve">211/2016/TT-BTC </w:t>
            </w:r>
          </w:p>
        </w:tc>
        <w:tc>
          <w:p/>
          <w:p>
            <w:pPr>
              <w:spacing w:after="0" w:before="0" w:lineRule="auto" w:line="276"/>
              <w:jc w:val="left"/>
            </w:pPr>
            <w:r>
              <w:rPr>
                <w:rFonts w:ascii="Times New Roman" w:hAnsi="Times New Roman" w:cs="Times New Roman" w:eastAsia="Times New Roman"/>
                <w:b w:val="false"/>
                <w:sz w:val="26"/>
              </w:rPr>
              <w:t>Thông tư 211/2016/TT-BTC</w:t>
            </w:r>
          </w:p>
        </w:tc>
        <w:tc>
          <w:p/>
          <w:p>
            <w:pPr>
              <w:spacing w:after="0" w:before="0" w:lineRule="auto" w:line="276"/>
              <w:jc w:val="left"/>
            </w:pPr>
            <w:r>
              <w:rPr>
                <w:rFonts w:ascii="Times New Roman" w:hAnsi="Times New Roman" w:cs="Times New Roman" w:eastAsia="Times New Roman"/>
                <w:b w:val="false"/>
                <w:sz w:val="26"/>
              </w:rPr>
              <w:t>10-11-2016</w:t>
            </w:r>
          </w:p>
        </w:tc>
        <w:tc>
          <w:p/>
          <w:p>
            <w:pPr>
              <w:spacing w:after="0" w:before="0" w:lineRule="auto" w:line="276"/>
              <w:jc w:val="left"/>
            </w:pPr>
            <w:r>
              <w:rPr>
                <w:rFonts w:ascii="Times New Roman" w:hAnsi="Times New Roman" w:cs="Times New Roman" w:eastAsia="Times New Roman"/>
                <w:b w:val="false"/>
                <w:sz w:val="26"/>
              </w:rPr>
              <w:t>Bộ Tài chính</w:t>
            </w:r>
          </w:p>
        </w:tc>
      </w:tr>
      <w:tr>
        <w:tc>
          <w:p/>
          <w:p>
            <w:pPr>
              <w:spacing w:after="0" w:before="0" w:lineRule="auto" w:line="276"/>
              <w:jc w:val="left"/>
            </w:pPr>
            <w:r>
              <w:rPr>
                <w:rFonts w:ascii="Times New Roman" w:hAnsi="Times New Roman" w:cs="Times New Roman" w:eastAsia="Times New Roman"/>
                <w:b w:val="false"/>
                <w:sz w:val="26"/>
              </w:rPr>
              <w:t>07/2022/QH15</w:t>
            </w:r>
          </w:p>
        </w:tc>
        <w:tc>
          <w:p/>
          <w:p>
            <w:pPr>
              <w:spacing w:after="0" w:before="0" w:lineRule="auto" w:line="276"/>
              <w:jc w:val="left"/>
            </w:pPr>
            <w:r>
              <w:rPr>
                <w:rFonts w:ascii="Times New Roman" w:hAnsi="Times New Roman" w:cs="Times New Roman" w:eastAsia="Times New Roman"/>
                <w:b w:val="false"/>
                <w:sz w:val="26"/>
              </w:rPr>
              <w:t>07/2022/QH15 - Luật sửa đổi, bổ sung một số điều của Luật Sở hữu trí tuệ</w:t>
            </w:r>
          </w:p>
        </w:tc>
        <w:tc>
          <w:p/>
          <w:p>
            <w:pPr>
              <w:spacing w:after="0" w:before="0" w:lineRule="auto" w:line="276"/>
              <w:jc w:val="left"/>
            </w:pPr>
            <w:r>
              <w:rPr>
                <w:rFonts w:ascii="Times New Roman" w:hAnsi="Times New Roman" w:cs="Times New Roman" w:eastAsia="Times New Roman"/>
                <w:b w:val="false"/>
                <w:sz w:val="26"/>
              </w:rPr>
              <w:t>16-06-2022</w:t>
            </w:r>
          </w:p>
        </w:tc>
        <w:tc>
          <w:p/>
        </w:tc>
      </w:tr>
    </w:tbl>
    <w:p>
      <w:pPr>
        <w:spacing w:after="0" w:before="240" w:lineRule="auto" w:line="276"/>
        <w:jc w:val="both"/>
      </w:pPr>
      <w:r>
        <w:rPr>
          <w:rFonts w:ascii="Times New Roman" w:hAnsi="Times New Roman" w:cs="Times New Roman" w:eastAsia="Times New Roman"/>
          <w:b w:val="true"/>
          <w:sz w:val="26"/>
        </w:rPr>
        <w:t xml:space="preserve">Yêu cầu, điều kiện thực hiện: </w:t>
      </w:r>
      <w:r>
        <w:rPr>
          <w:rFonts w:ascii="Times New Roman" w:hAnsi="Times New Roman" w:cs="Times New Roman" w:eastAsia="Times New Roman"/>
          <w:b w:val="false"/>
          <w:sz w:val="26"/>
        </w:rPr>
        <w:t>Không có</w:t>
      </w:r>
    </w:p>
    <w:p>
      <w:pPr>
        <w:spacing w:after="0" w:before="0" w:lineRule="auto" w:line="276"/>
        <w:jc w:val="both"/>
      </w:pPr>
      <w:r>
        <w:rPr>
          <w:rFonts w:ascii="Times New Roman" w:hAnsi="Times New Roman" w:cs="Times New Roman" w:eastAsia="Times New Roman"/>
          <w:b w:val="true"/>
          <w:sz w:val="26"/>
        </w:rPr>
        <w:t xml:space="preserve">Từ khóa: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Mô tả: </w:t>
      </w:r>
      <w:r>
        <w:rPr>
          <w:rFonts w:ascii="Times New Roman" w:hAnsi="Times New Roman" w:cs="Times New Roman" w:eastAsia="Times New Roman"/>
          <w:b w:val="false"/>
          <w:sz w:val="26"/>
        </w:rPr>
        <w:t>Không có thông tin</w:t>
      </w:r>
    </w:p>
    <w:sectPr>
      <w:pgMar w:left="1702" w:top="1137" w:right="1137" w:bottom="1137"/>
    </w:sectPr>
  </w:body>
</w:document>
</file>

<file path=word/settings.xml><?xml version="1.0" encoding="utf-8"?>
<w:settings xmlns:w="http://schemas.openxmlformats.org/wordprocessingml/2006/main"/>
</file>

<file path=word/_rels/document.xml.rels><?xml version="1.0" encoding="UTF-8" standalone="no"?>
<Relationships xmlns="http://schemas.openxmlformats.org/package/2006/relationships">
<Relationship Id="rId1" Target="settings.xml" Type="http://schemas.openxmlformats.org/officeDocument/2006/relationships/settings"/>
</Relationships>

</file>

<file path=docProps/app.xml><?xml version="1.0" encoding="utf-8"?>
<Properties xmlns="http://schemas.openxmlformats.org/officeDocument/2006/extended-properties">
  <Application>Apache POI</Application>
</Properties>
</file>

<file path=docProps/core.xml><?xml version="1.0" encoding="utf-8"?>
<cp:coreProperties xmlns:cp="http://schemas.openxmlformats.org/package/2006/metadata/core-properties" xmlns:dc="http://purl.org/dc/elements/1.1/" xmlns:dcterms="http://purl.org/dc/terms/" xmlns:xsi="http://www.w3.org/2001/XMLSchema-instance">
  <dcterms:created xsi:type="dcterms:W3CDTF">2026-05-20T04:24:41Z</dcterms:created>
  <dc:creator>Apache POI</dc:creator>
</cp:coreProperties>
</file>