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bản phụ trương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phép xuất phụ trương</w:t>
      </w:r>
    </w:p>
    <w:p>
      <w:pPr>
        <w:spacing w:after="0" w:before="0" w:lineRule="auto" w:line="276"/>
        <w:jc w:val="both"/>
      </w:pPr>
      <w:r>
        <w:rPr>
          <w:rFonts w:ascii="Times New Roman" w:hAnsi="Times New Roman" w:cs="Times New Roman" w:eastAsia="Times New Roman"/>
          <w:b w:val="false"/>
          <w:sz w:val="26"/>
        </w:rPr>
        <w:t>Cơ quan báo chí có đủ điều kiện theo quy định tại Điều 30 Luật Báo chí có nhu cầu xuất bản phụ trương, cơ quan chủ quản báo chí lập 01 bộ hồ sơ đề nghị cấp giấy phép xuất bản phụ trương gửi trực tiếp, qua hệ thống bưu chính hoặc qua môi trường điện tử đến Cục Báo chí.</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Cục Báo chí có trách nhiệm cấp giấy phép xuất bản phụ trương; trường hợp từ chối cấp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Cục Báo chí
Số 7 Yết Kiêu, quận Hai Bà Trưng,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 Cổng dịch vụ công quốc gia (http://dichvucong.gov.vn); hoặc
+ Cổng dịch vụ công của Bộ Văn hóa, Thể thao và Du lịch (https://dichvucong.bvhttdl.gov.vn/congdan/)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hệ thống Bưu chính đến Cục Báo chí
Số 7 Yết Kiêu, quận Hai Bà Trưng,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giấy phép xuất phụ trương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đề nghị cấp giấy phép xuất bản phụ trương</w:t>
            </w:r>
          </w:p>
        </w:tc>
        <w:tc>
          <w:p/>
          <w:p>
            <w:pPr>
              <w:spacing w:after="0" w:before="0" w:lineRule="auto" w:line="276"/>
              <w:jc w:val="left"/>
            </w:pPr>
            <w:r>
              <w:rPr>
                <w:rFonts w:ascii="Times New Roman" w:hAnsi="Times New Roman" w:cs="Times New Roman" w:eastAsia="Times New Roman"/>
                <w:b w:val="false"/>
                <w:sz w:val="26"/>
              </w:rPr>
              <w:t>Mẫu số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xuất bản phụ trương (có chữ ký của người có thẩm quyền và đóng dấu hoặc ký số của cơ quan chủ quản báo chí) và các tài liệu kèm theo, gồm các nội dung sau:  + Sự cần thiết và cơ sở pháp lý;  + Trình bày việc đáp ứng đầy đủ các điều kiện quy định tại Điều 30 Luật Báo chí;  + Kết cấu và nội dung chính của phụ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phụ trương có xác nhận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và nộp qua hệ thống bưu chính đến địa chỉ Cục Báo chí: Số  7 Yết Kiêu, quận Hai Bà Trưng, Hà Nội. - Nộp qua Cổng dịch vụ công: + Cổng dịch vụ công quốc gia (http://dichvucong.gov.vn); hoặc + Cổng dịch vụ công của Bộ Thông tin và Truyền thông (http://dichvucong.mic.gov.vn).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bản phụ trương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41/2020/TT-BTTTT</w:t>
            </w:r>
          </w:p>
        </w:tc>
        <w:tc>
          <w:p/>
          <w:p>
            <w:pPr>
              <w:spacing w:after="0" w:before="0" w:lineRule="auto" w:line="276"/>
              <w:jc w:val="left"/>
            </w:pPr>
            <w:r>
              <w:rPr>
                <w:rFonts w:ascii="Times New Roman" w:hAnsi="Times New Roman" w:cs="Times New Roman" w:eastAsia="Times New Roman"/>
                <w:b w:val="false"/>
                <w:sz w:val="26"/>
              </w:rPr>
              <w:t>Thông tư 41/2020/TT-BTTTT</w:t>
            </w:r>
          </w:p>
        </w:tc>
        <w:tc>
          <w:p/>
          <w:p>
            <w:pPr>
              <w:spacing w:after="0" w:before="0" w:lineRule="auto" w:line="276"/>
              <w:jc w:val="left"/>
            </w:pPr>
            <w:r>
              <w:rPr>
                <w:rFonts w:ascii="Times New Roman" w:hAnsi="Times New Roman" w:cs="Times New Roman" w:eastAsia="Times New Roman"/>
                <w:b w:val="false"/>
                <w:sz w:val="26"/>
              </w:rPr>
              <w:t>24-12-2020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tôn chỉ, mục đích phù hợp với tôn chỉ, mục đích của cơ quan báo chí; đối tượng phục vụ.
- Có phương án về tổ chức và nhân sự bảo đảm hoạt động của phụ trương;
- Có tên và hình thức trình bày tên phụ trương.
- Có các điều kiện cơ sở vật chất, kỹ thuật; phương án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2026-05-09T03:15:24Z</dcterms:created>
  <dc:creator>Apache POI</dc:creator>
</cp:coreProperties>
</file>