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1.001716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3212/QĐ-BKHCN.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hoạt động lần đầu cho văn phòng đại diện, chi nhánh của tổ chức khoa học và công nghệ</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chuẩn bị 02 bộ hồ sơ đề nghị cấp Giấy chứng nhận hoạt động lần đầu cho văn phòng đại diện, chi nhánh của tổ chức khoa học và công nghệ và gửi đến Sở Khoa học và Công nghệ nơi văn phòng đại diện, chi nhánh đặt trụ sở chính.
- Sở Khoa học và Công nghệ có trách nhiệm kiểm tra hồ sơ. Trường hợp hồ sơ không đầy đủ theo quy định thì trong thời hạn chậm nhất 05 ngày làm việc kể từ ngày nhận được hồ sơ, Sở Khoa học và Công nghệ phải thông báo bằng văn bản cho tổ chức, cá nhân để sửa đổi, bổ sung;
- Trong thời hạn 15 ngày làm việc, kể từ ngày nhận đầy đủ hồ sơ theo quy định, Sở Khoa học và Công nghệ có trách nhiệm cấp Giấy chứng nhận hoạt động lần đầu cho văn phòng đại diện, chi nhánh của tổ chức khoa học và công nghệ. Trong trường hợp hồ sơ đăng ký hoạt động khoa học và công nghệ không được chấp thuận, Sở Khoa học và Công nghệ gửi thông báo bằng văn bản cho tổ chức, cá nhân trong đó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3.000.000  Đồng</w:t>
            </w:r>
          </w:p>
        </w:tc>
        <w:tc>
          <w:p/>
          <w:p>
            <w:pPr>
              <w:spacing w:after="0" w:before="0" w:lineRule="auto" w:line="276"/>
              <w:jc w:val="left"/>
            </w:pPr>
            <w:r>
              <w:rPr>
                <w:rFonts w:ascii="Times New Roman" w:hAnsi="Times New Roman" w:cs="Times New Roman" w:eastAsia="Times New Roman"/>
                <w:b w:val="false"/>
                <w:sz w:val="26"/>
              </w:rPr>
              <w:t>15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3.000.000  Đồng</w:t>
            </w:r>
          </w:p>
        </w:tc>
        <w:tc>
          <w:p/>
          <w:p>
            <w:pPr>
              <w:spacing w:after="0" w:before="0" w:lineRule="auto" w:line="276"/>
              <w:jc w:val="left"/>
            </w:pPr>
            <w:r>
              <w:rPr>
                <w:rFonts w:ascii="Times New Roman" w:hAnsi="Times New Roman" w:cs="Times New Roman" w:eastAsia="Times New Roman"/>
                <w:b w:val="false"/>
                <w:sz w:val="26"/>
              </w:rPr>
              <w:t>15 ngày làm việc kể từ khi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hoạt động văn phòng đại diện, chi nhánh của tổ chức khoa học và công nghệ (theo mẫu).</w:t>
            </w:r>
          </w:p>
        </w:tc>
        <w:tc>
          <w:p/>
          <w:p>
            <w:pPr>
              <w:spacing w:after="0" w:before="0" w:lineRule="auto" w:line="276"/>
              <w:jc w:val="left"/>
            </w:pPr>
            <w:r>
              <w:rPr>
                <w:rFonts w:ascii="Times New Roman" w:hAnsi="Times New Roman" w:cs="Times New Roman" w:eastAsia="Times New Roman"/>
                <w:b w:val="false"/>
                <w:sz w:val="26"/>
              </w:rPr>
              <w:t>Mẫu 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thành lập văn phòng đại diện, chi nhánh.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hợp pháp) Giấy chứng nhận và Điều lệ tổ chức và hoạt động của tổ chức khoa học và công nghệ chủ quản.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của người đứng đầu văn phòng đại diện, chi nhánh của tổ chức khoa học và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hợp pháp) Quyết định bổ nhiệm của cơ quan, tổ chức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Lý lịch khoa học có xác nhận của cơ quan, tổ chức có thẩm quyền (theo mẫu).</w:t>
            </w:r>
          </w:p>
        </w:tc>
        <w:tc>
          <w:p/>
          <w:p>
            <w:pPr>
              <w:spacing w:after="0" w:before="0" w:lineRule="auto" w:line="276"/>
              <w:jc w:val="left"/>
            </w:pPr>
            <w:r>
              <w:rPr>
                <w:rFonts w:ascii="Times New Roman" w:hAnsi="Times New Roman" w:cs="Times New Roman" w:eastAsia="Times New Roman"/>
                <w:b w:val="false"/>
                <w:sz w:val="26"/>
              </w:rPr>
              <w:t>Mẫu 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hợp pháp) các văn bằng đào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về trụ sở của văn phòng đại diện, chi nhánh: Phải có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hợp pháp) giấy tờ chứng minh quyền sở hữu nhà, quyền sử dụng đất của tổ chức khoa học và công nghệ đối với địa điểm nơi đặt trụ sở văn phòng đại diện, chi nhánh;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hợp pháp) giấy tờ chứng minh quyền sở hữu nhà, quyền sử dụng đất hoặc giấy tờ chứng minh quyền được phép cho thuê, cho mượn của bên cho thuê, cho mượn kèm theo hợp đồng thuê, mượn địa điểm làm trụ sở văn phòng đại diện, chi nhánh; trường hợp bản sao hợp đồng không có chứng thực hợp pháp, tổ chức có thể xuất trình bản chính để người tiếp nhận hồ sơ đối chiếu và ký xác nhận vào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về nhân lực của văn phòng đại diện, chi nhánh của tổ chức khoa học và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văn phòng đại diện, chi nhánh của tổ chức khoa học và công nghệ công lập và cơ sở giáo dục đại học: Bảng danh sách nhân lực được cơ quan quyết định thành lập hoặc quản lý trực tiếp xác nhận (theo mẫu).</w:t>
            </w:r>
          </w:p>
        </w:tc>
        <w:tc>
          <w:p/>
          <w:p>
            <w:pPr>
              <w:spacing w:after="0" w:before="0" w:lineRule="auto" w:line="276"/>
              <w:jc w:val="left"/>
            </w:pPr>
            <w:r>
              <w:rPr>
                <w:rFonts w:ascii="Times New Roman" w:hAnsi="Times New Roman" w:cs="Times New Roman" w:eastAsia="Times New Roman"/>
                <w:b w:val="false"/>
                <w:sz w:val="26"/>
              </w:rPr>
              <w:t>Mẫu 8 - bảng danh sách nhân lực.docx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văn phòng đại diện, chi nhánh của tổ chức khoa học và công nghệ ngoài công lập và có vốn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danh sách nhân lực (theo mẫu).</w:t>
            </w:r>
          </w:p>
        </w:tc>
        <w:tc>
          <w:p/>
          <w:p>
            <w:pPr>
              <w:spacing w:after="0" w:before="0" w:lineRule="auto" w:line="276"/>
              <w:jc w:val="left"/>
            </w:pPr>
            <w:r>
              <w:rPr>
                <w:rFonts w:ascii="Times New Roman" w:hAnsi="Times New Roman" w:cs="Times New Roman" w:eastAsia="Times New Roman"/>
                <w:b w:val="false"/>
                <w:sz w:val="26"/>
              </w:rPr>
              <w:t>Mẫu 8 - bảng danh sách nhân lực.docx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nhân lực chính thức: Đơn đề nghị được làm việc chính thức (theo mẫu); bản sao các văn bằng đào tạo (có chứng thực hợp pháp).</w:t>
            </w:r>
          </w:p>
        </w:tc>
        <w:tc>
          <w:p/>
          <w:p>
            <w:pPr>
              <w:spacing w:after="0" w:before="0" w:lineRule="auto" w:line="276"/>
              <w:jc w:val="left"/>
            </w:pPr>
            <w:r>
              <w:rPr>
                <w:rFonts w:ascii="Times New Roman" w:hAnsi="Times New Roman" w:cs="Times New Roman" w:eastAsia="Times New Roman"/>
                <w:b w:val="false"/>
                <w:sz w:val="26"/>
              </w:rPr>
              <w:t>Mẫu 9 - Đơn làm việc chính thức.docx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nhân lực kiêm nhiệm: Đơn đề nghị được làm việc kiêm nhiệm (theo mẫu); bản sao các văn bằng đào tạo (có chứng thực hợp pháp).</w:t>
            </w:r>
          </w:p>
        </w:tc>
        <w:tc>
          <w:p/>
          <w:p>
            <w:pPr>
              <w:spacing w:after="0" w:before="0" w:lineRule="auto" w:line="276"/>
              <w:jc w:val="left"/>
            </w:pPr>
            <w:r>
              <w:rPr>
                <w:rFonts w:ascii="Times New Roman" w:hAnsi="Times New Roman" w:cs="Times New Roman" w:eastAsia="Times New Roman"/>
                <w:b w:val="false"/>
                <w:sz w:val="26"/>
              </w:rPr>
              <w:t>Mẫu 10 - Đơn làm việc kiêm nhiệm.docx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Khoa học và Công nghệ</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hoạt động văn phòng đại diện/chi nhánh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08/2014/NĐ-CP</w:t>
            </w:r>
          </w:p>
        </w:tc>
        <w:tc>
          <w:p/>
          <w:p>
            <w:pPr>
              <w:spacing w:after="0" w:before="0" w:lineRule="auto" w:line="276"/>
              <w:jc w:val="left"/>
            </w:pPr>
            <w:r>
              <w:rPr>
                <w:rFonts w:ascii="Times New Roman" w:hAnsi="Times New Roman" w:cs="Times New Roman" w:eastAsia="Times New Roman"/>
                <w:b w:val="false"/>
                <w:sz w:val="26"/>
              </w:rPr>
              <w:t>Nghị định quy định chi tiết và hướng dẫn thi hành một số điều của Luật khoa học và công nghệ</w:t>
            </w:r>
          </w:p>
        </w:tc>
        <w:tc>
          <w:p/>
          <w:p>
            <w:pPr>
              <w:spacing w:after="0" w:before="0" w:lineRule="auto" w:line="276"/>
              <w:jc w:val="left"/>
            </w:pPr>
            <w:r>
              <w:rPr>
                <w:rFonts w:ascii="Times New Roman" w:hAnsi="Times New Roman" w:cs="Times New Roman" w:eastAsia="Times New Roman"/>
                <w:b w:val="false"/>
                <w:sz w:val="26"/>
              </w:rPr>
              <w:t>27-01-2014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29/2013/QH13</w:t>
            </w:r>
          </w:p>
        </w:tc>
        <w:tc>
          <w:p/>
          <w:p>
            <w:pPr>
              <w:spacing w:after="0" w:before="0" w:lineRule="auto" w:line="276"/>
              <w:jc w:val="left"/>
            </w:pPr>
            <w:r>
              <w:rPr>
                <w:rFonts w:ascii="Times New Roman" w:hAnsi="Times New Roman" w:cs="Times New Roman" w:eastAsia="Times New Roman"/>
                <w:b w:val="false"/>
                <w:sz w:val="26"/>
              </w:rPr>
              <w:t>Luật 29/2013/QH13</w:t>
            </w:r>
          </w:p>
        </w:tc>
        <w:tc>
          <w:p/>
          <w:p>
            <w:pPr>
              <w:spacing w:after="0" w:before="0" w:lineRule="auto" w:line="276"/>
              <w:jc w:val="left"/>
            </w:pPr>
            <w:r>
              <w:rPr>
                <w:rFonts w:ascii="Times New Roman" w:hAnsi="Times New Roman" w:cs="Times New Roman" w:eastAsia="Times New Roman"/>
                <w:b w:val="false"/>
                <w:sz w:val="26"/>
              </w:rPr>
              <w:t>18-06-2013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03/2014/TT-BKHCN</w:t>
            </w:r>
          </w:p>
        </w:tc>
        <w:tc>
          <w:p/>
          <w:p>
            <w:pPr>
              <w:spacing w:after="0" w:before="0" w:lineRule="auto" w:line="276"/>
              <w:jc w:val="left"/>
            </w:pPr>
            <w:r>
              <w:rPr>
                <w:rFonts w:ascii="Times New Roman" w:hAnsi="Times New Roman" w:cs="Times New Roman" w:eastAsia="Times New Roman"/>
                <w:b w:val="false"/>
                <w:sz w:val="26"/>
              </w:rPr>
              <w:t>Thông tư 03/2014/TT-BKHCN-Hướng dẫn điều kiện thành lập và đăng ký hoạt động của tổ chức khoa học và công nghệ, văn phòng đại diện, chi nhánh của tổ chức khoa học và công nghệ</w:t>
            </w:r>
          </w:p>
        </w:tc>
        <w:tc>
          <w:p/>
          <w:p>
            <w:pPr>
              <w:spacing w:after="0" w:before="0" w:lineRule="auto" w:line="276"/>
              <w:jc w:val="left"/>
            </w:pPr>
            <w:r>
              <w:rPr>
                <w:rFonts w:ascii="Times New Roman" w:hAnsi="Times New Roman" w:cs="Times New Roman" w:eastAsia="Times New Roman"/>
                <w:b w:val="false"/>
                <w:sz w:val="26"/>
              </w:rPr>
              <w:t>31-03-2014</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298/2016/TT-BTC</w:t>
            </w:r>
          </w:p>
        </w:tc>
        <w:tc>
          <w:p/>
          <w:p>
            <w:pPr>
              <w:spacing w:after="0" w:before="0" w:lineRule="auto" w:line="276"/>
              <w:jc w:val="left"/>
            </w:pPr>
            <w:r>
              <w:rPr>
                <w:rFonts w:ascii="Times New Roman" w:hAnsi="Times New Roman" w:cs="Times New Roman" w:eastAsia="Times New Roman"/>
                <w:b w:val="false"/>
                <w:sz w:val="26"/>
              </w:rPr>
              <w:t>Thông tư 298/2016/TT-BTC- Quy định mức thu, chế độ thu, nộp, quản lý và sử dụng phí thẩm định điều kiện hoạt động về khoa học, công nghệ</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15/2023/TT-BKHCN</w:t>
            </w:r>
          </w:p>
        </w:tc>
        <w:tc>
          <w:p/>
          <w:p>
            <w:pPr>
              <w:spacing w:after="0" w:before="0" w:lineRule="auto" w:line="276"/>
              <w:jc w:val="left"/>
            </w:pPr>
            <w:r>
              <w:rPr>
                <w:rFonts w:ascii="Times New Roman" w:hAnsi="Times New Roman" w:cs="Times New Roman" w:eastAsia="Times New Roman"/>
                <w:b w:val="false"/>
                <w:sz w:val="26"/>
              </w:rPr>
              <w:t>Thông tư số 15/2023/TT-BKHCN - Sửa đổi, bổ sung một số điều của Thông tư số 32/2011/TT-BKHCN và Thông tư số 03/2014/TT-BKHCN</w:t>
            </w:r>
          </w:p>
        </w:tc>
        <w:tc>
          <w:p/>
          <w:p>
            <w:pPr>
              <w:spacing w:after="0" w:before="0" w:lineRule="auto" w:line="276"/>
              <w:jc w:val="left"/>
            </w:pPr>
            <w:r>
              <w:rPr>
                <w:rFonts w:ascii="Times New Roman" w:hAnsi="Times New Roman" w:cs="Times New Roman" w:eastAsia="Times New Roman"/>
                <w:b w:val="false"/>
                <w:sz w:val="26"/>
              </w:rPr>
              <w:t>26-07-2023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Lĩnh vực hoạt động của văn phòng đại diện, chi nhánh phải phù hợp với lĩnh vực hoạt động của tổ chức khoa học và công nghệ.
- Việc thành lập văn phòng đại diện, chi nhánh được quy định trong Điều lệ tổ chức và hoạt động của tổ chức khoa học và công nghệ.
- Văn phòng đại diện phải có ít nhất 02 (hai) người có trình độ cao đẳng trở lên; chi nhánh phải có ít nhất 03 (ba) người có trình độ đại học trở lên, trong đó ít nhất 01 (một) người có trình độ chuyên môn trong lĩnh vực chủ yếu xin đăng ký hoạt động. Người đứng đầu phải có trình độ đại học trở lên và làm việc chính thức tại văn phòng đại diện, chi nhánh.
- Trụ sở văn phòng đại diện, chi nhánh:
Trụ sở là nơi làm việc riêng biệt để giao dịch, liên lạc và được đặt trong lãnh thổ Việt Nam. Trụ sở có địa chỉ được xác định gồm số nhà, tên phố (ngõ phố) hoặc tên xã, phường, thị trấn, huyện, quận, thị xã, thành phố thuộc tỉnh, tỉnh, thành phố trực thuộc Trung ương; số điện thoại, số fax và địa chỉ thư điện tử (nếu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Giấy chứng nhận hoạt động lần đầu cho văn phòng đại diện, chi nhánh của tổ chức khoa học và công nghệ</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2026-05-20T06:07:08Z</dcterms:created>
  <dc:creator>Apache POI</dc:creator>
</cp:coreProperties>
</file>