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mua pháo hoa để kinh doanh tại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doanh nghiệp có nhu cầu mua  pháo hoa để kinh doanh nộp văn bản đề nghị theo mẫu tại Phụ lục VII ban hành kèm theo Nghị định số 56/2023/NĐ-CP ngày 24/7/2023 trên cổng Dịch vụ công quốc gia hoặc Ứng dụng định danh quốc gia (VNeID) hoặc gửi qua đường Bưu chính hoặc nộp trực tiếp tại Cục Cảnh sát quản lý hành chính về trật tự xã hội, Bộ Công an. 
- Bước 2: Cán bộ tiếp nhận kiểm tra tính hợp lệ của văn bản.
+ Nếu văn bản hợp lệ thì tiếp nhận và gửi Giấy biên nhận hồ sơ trên cổng Dịch vụ công quốc gia hoặc Ứng dụng định danh quốc gia (VNeID) hoặc gửi qua đường Bưu chính hoặc gửi trực tiếp cho người được tổ chức, doanh nghiệp cử liên hệ. 
+ Nếu văn bản chưa đầy đủ thông tin thì hướng dẫn bằng văn bản và gửi hướng dẫn trên cổng Dịch vụ công quốc gia hoặc Ứng dụng định danh quốc gia (VNeID) hoặc gửi qua đường Bưu chính hoặc gửi trực tiếp cho người được tổ chức, doanh nghiệp cử liên hệ. 
+ Nếu văn bản không hợp lệ thì không tiếp nhận, thông báo lý do bằng văn bản và gửi thông báo trên cổng Dịch vụ công quốc gia hoặc Ứng dụng định danh quốc gia (VNeID) hoặc gửi qua đường Bưu chính hoặc gửi trực tiếp cho người được tổ chức, doanh nghiệp cử liên hệ. 
- Bước 3: Căn cứ ngày hẹn trả kết quả trên Giấy biên nhận hồ sơ, tổ chức, doanh nghiệp nhận Giấy phép mua pháo hoa để kinh doanh trên cổng Dịch vụ công quốc gia hoặc Ứng dụng định danh quốc gia (VNeID) hoặc gửi qua đường Bưu chính hoặc gửi trực tiếp cho người được tổ chức, doanh nghiệp cử liên hệ.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150.000 Đồng</w:t>
              <w:t xml:space="preserve"> (150.000 đồng/1 giấy.)</w:t>
            </w:r>
          </w:p>
        </w:tc>
        <w:tc>
          <w:p/>
          <w:p>
            <w:pPr>
              <w:spacing w:after="0" w:before="0" w:lineRule="auto" w:line="276"/>
              <w:jc w:val="left"/>
            </w:pPr>
            <w:r>
              <w:rPr>
                <w:rFonts w:ascii="Times New Roman" w:hAnsi="Times New Roman" w:cs="Times New Roman" w:eastAsia="Times New Roman"/>
                <w:b w:val="false"/>
                <w:sz w:val="26"/>
              </w:rPr>
              <w:t>Nộp văn bản trên cổng Dịch vụ công quốc gia hoặc Ứng dụng định danh quốc gia (VNeID) hoặc gửi qua đường Bưu chính hoặc nộp trực tiếp tại Cục Cảnh sát quản lý hành chính về trật tự xã hội, Bộ Công 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150.000 Đồng</w:t>
              <w:t xml:space="preserve"> (150.000 đồng/1 giấy.)</w:t>
            </w:r>
          </w:p>
        </w:tc>
        <w:tc>
          <w:p/>
          <w:p>
            <w:pPr>
              <w:spacing w:after="0" w:before="0" w:lineRule="auto" w:line="276"/>
              <w:jc w:val="left"/>
            </w:pPr>
            <w:r>
              <w:rPr>
                <w:rFonts w:ascii="Times New Roman" w:hAnsi="Times New Roman" w:cs="Times New Roman" w:eastAsia="Times New Roman"/>
                <w:b w:val="false"/>
                <w:sz w:val="26"/>
              </w:rPr>
              <w:t>Nộp văn bản trên cổng Dịch vụ công quốc gia hoặc Ứng dụng định danh quốc gia (VNeID) hoặc gửi qua đường Bưu chính hoặc nộp trực tiếp tại Cục Cảnh sát quản lý hành chính về trật tự xã hội,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150.000 Đồng</w:t>
              <w:t xml:space="preserve"> (150.000 đồng/1 giấy.)</w:t>
            </w:r>
          </w:p>
        </w:tc>
        <w:tc>
          <w:p/>
          <w:p>
            <w:pPr>
              <w:spacing w:after="0" w:before="0" w:lineRule="auto" w:line="276"/>
              <w:jc w:val="left"/>
            </w:pPr>
            <w:r>
              <w:rPr>
                <w:rFonts w:ascii="Times New Roman" w:hAnsi="Times New Roman" w:cs="Times New Roman" w:eastAsia="Times New Roman"/>
                <w:b w:val="false"/>
                <w:sz w:val="26"/>
              </w:rPr>
              <w:t>Nộp văn bản trên cổng Dịch vụ công quốc gia hoặc Ứng dụng định danh quốc gia (VNeID) hoặc gửi qua đường Bưu chính hoặc nộp trực tiếp tại Cục Cảnh sát quản lý hành chính về trật tự xã hội, Bộ Công 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ghi đầy đủ nội dung theo mẫu quy định tại Phụ lục VII ban hành kèm theo Nghị định số 56/2023/NĐ-CP  ngày 24/7/2023.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quản lý hành chính về trật tự xã hội,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mua pháo 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137/2020/NĐ-CP</w:t>
            </w:r>
          </w:p>
        </w:tc>
        <w:tc>
          <w:p/>
          <w:p>
            <w:pPr>
              <w:spacing w:after="0" w:before="0" w:lineRule="auto" w:line="276"/>
              <w:jc w:val="left"/>
            </w:pPr>
            <w:r>
              <w:rPr>
                <w:rFonts w:ascii="Times New Roman" w:hAnsi="Times New Roman" w:cs="Times New Roman" w:eastAsia="Times New Roman"/>
                <w:b w:val="false"/>
                <w:sz w:val="26"/>
              </w:rPr>
              <w:t>Nghị định 137/2020/NĐ-CP</w:t>
            </w:r>
          </w:p>
        </w:tc>
        <w:tc>
          <w:p/>
          <w:p>
            <w:pPr>
              <w:spacing w:after="0" w:before="0" w:lineRule="auto" w:line="276"/>
              <w:jc w:val="left"/>
            </w:pPr>
            <w:r>
              <w:rPr>
                <w:rFonts w:ascii="Times New Roman" w:hAnsi="Times New Roman" w:cs="Times New Roman" w:eastAsia="Times New Roman"/>
                <w:b w:val="false"/>
                <w:sz w:val="26"/>
              </w:rPr>
              <w:t>27-11-2020</w:t>
            </w:r>
          </w:p>
        </w:tc>
        <w:tc>
          <w:p/>
        </w:tc>
      </w:tr>
      <w:tr>
        <w:tc>
          <w:p/>
          <w:p>
            <w:pPr>
              <w:spacing w:after="0" w:before="0" w:lineRule="auto" w:line="276"/>
              <w:jc w:val="left"/>
            </w:pPr>
            <w:r>
              <w:rPr>
                <w:rFonts w:ascii="Times New Roman" w:hAnsi="Times New Roman" w:cs="Times New Roman" w:eastAsia="Times New Roman"/>
                <w:b w:val="false"/>
                <w:sz w:val="26"/>
              </w:rPr>
              <w:t>23/2019/TT-BTC</w:t>
            </w:r>
          </w:p>
        </w:tc>
        <w:tc>
          <w:p/>
          <w:p>
            <w:pPr>
              <w:spacing w:after="0" w:before="0" w:lineRule="auto" w:line="276"/>
              <w:jc w:val="left"/>
            </w:pPr>
            <w:r>
              <w:rPr>
                <w:rFonts w:ascii="Times New Roman" w:hAnsi="Times New Roman" w:cs="Times New Roman" w:eastAsia="Times New Roman"/>
                <w:b w:val="false"/>
                <w:sz w:val="26"/>
              </w:rPr>
              <w:t>Thông tư 23/2019/TT-BTC</w:t>
            </w:r>
          </w:p>
        </w:tc>
        <w:tc>
          <w:p/>
          <w:p>
            <w:pPr>
              <w:spacing w:after="0" w:before="0" w:lineRule="auto" w:line="276"/>
              <w:jc w:val="left"/>
            </w:pPr>
            <w:r>
              <w:rPr>
                <w:rFonts w:ascii="Times New Roman" w:hAnsi="Times New Roman" w:cs="Times New Roman" w:eastAsia="Times New Roman"/>
                <w:b w:val="false"/>
                <w:sz w:val="26"/>
              </w:rPr>
              <w:t>19-04-2019</w:t>
            </w:r>
          </w:p>
        </w:tc>
        <w:tc>
          <w:p/>
        </w:tc>
      </w:tr>
      <w:tr>
        <w:tc>
          <w:p/>
          <w:p>
            <w:pPr>
              <w:spacing w:after="0" w:before="0" w:lineRule="auto" w:line="276"/>
              <w:jc w:val="left"/>
            </w:pPr>
            <w:r>
              <w:rPr>
                <w:rFonts w:ascii="Times New Roman" w:hAnsi="Times New Roman" w:cs="Times New Roman" w:eastAsia="Times New Roman"/>
                <w:b w:val="false"/>
                <w:sz w:val="26"/>
              </w:rPr>
              <w:t>218/2016/TT-BTC</w:t>
            </w:r>
          </w:p>
        </w:tc>
        <w:tc>
          <w:p/>
          <w:p>
            <w:pPr>
              <w:spacing w:after="0" w:before="0" w:lineRule="auto" w:line="276"/>
              <w:jc w:val="left"/>
            </w:pPr>
            <w:r>
              <w:rPr>
                <w:rFonts w:ascii="Times New Roman" w:hAnsi="Times New Roman" w:cs="Times New Roman" w:eastAsia="Times New Roman"/>
                <w:b w:val="false"/>
                <w:sz w:val="26"/>
              </w:rPr>
              <w:t>Thông tư 218/2016/TT-BTC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56/2023/NĐ-CP</w:t>
            </w:r>
          </w:p>
        </w:tc>
        <w:tc>
          <w:p/>
          <w:p>
            <w:pPr>
              <w:spacing w:after="0" w:before="0" w:lineRule="auto" w:line="276"/>
              <w:jc w:val="left"/>
            </w:pPr>
            <w:r>
              <w:rPr>
                <w:rFonts w:ascii="Times New Roman" w:hAnsi="Times New Roman" w:cs="Times New Roman" w:eastAsia="Times New Roman"/>
                <w:b w:val="false"/>
                <w:sz w:val="26"/>
              </w:rPr>
              <w:t>Nghị định 56/2023/NĐ-CP</w:t>
            </w:r>
          </w:p>
        </w:tc>
        <w:tc>
          <w:p/>
          <w:p>
            <w:pPr>
              <w:spacing w:after="0" w:before="0" w:lineRule="auto" w:line="276"/>
              <w:jc w:val="left"/>
            </w:pPr>
            <w:r>
              <w:rPr>
                <w:rFonts w:ascii="Times New Roman" w:hAnsi="Times New Roman" w:cs="Times New Roman" w:eastAsia="Times New Roman"/>
                <w:b w:val="false"/>
                <w:sz w:val="26"/>
              </w:rPr>
              <w:t>24-07-2023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58/2026/NĐ-CP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QUY ĐỊNH ĐIỀU KIỆN VỀ AN NINH, TRẬT TỰ ĐỐI VỚI MỘT SỐ NGÀNH, NGHỀ ĐẦU TƯ KINH DOANH CÓ ĐIỀU KIỆN; QUẢN LÝ VÀ SỬ DỤNG CON DẤU; QUẢN LÝ, SỬ DỤNG PHÁO; QUY ĐỊNH CHI TIẾT MỘT SỐ ĐIỀU VÀ BIỆN PHÁP THI HÀNH LUẬT CƯ TRÚ, LUẬT CĂN CƯỚC</w:t>
            </w:r>
          </w:p>
        </w:tc>
        <w:tc>
          <w:p/>
          <w:p>
            <w:pPr>
              <w:spacing w:after="0" w:before="0" w:lineRule="auto" w:line="276"/>
              <w:jc w:val="left"/>
            </w:pPr>
            <w:r>
              <w:rPr>
                <w:rFonts w:ascii="Times New Roman" w:hAnsi="Times New Roman" w:cs="Times New Roman" w:eastAsia="Times New Roman"/>
                <w:b w:val="false"/>
                <w:sz w:val="26"/>
              </w:rPr>
              <w:t>13-02-2026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đúng quy định tại Điều 14 Nghị định số 137/2020/NĐ-CP ngày 27/11/2020; khoản 16 Điều 3 Nghị định số 58/2026/NĐ-CP ngày 13/02/2026, cụ thể:  
- Việc kinh doanh pháo hoa do tổ chức, doanh nghiệp thuộc Bộ Công an, Bộ Quốc phòng thực hiện và phải được cơ quan Công an có thẩm quyền cấp Giấy chứng nhận đủ điều kiện về an ninh, trật tự; bảo đảm các điều kiện về phòng cháy, chữa cháy, phòng ngừa, ứng phó sự cố và bảo vệ môi trường;
- Kho, phương tiện vận chuyển, thiết bị, dụng cụ phục vụ kinh doanh phải phù hợp, bảo đảm điều kiện về bảo quản, vận chuyển, phòng cháy và chữa cháy; 
- Người quản lý, người phục vụ có liên quan đến kinh doanh pháo hoa phải huấn luyện về kỹ thuật an toàn; 
- Chỉ được kinh doanh pháo hoa bảo đảm tiêu chuẩn, quy chuẩn kỹ thuật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phép mua pháo hoa để kinh doanh tại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2026-05-18T11:48:07Z</dcterms:created>
  <dc:creator>Apache POI</dc:creator>
</cp:coreProperties>
</file>