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miễn gọi nhập ngũ thời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Nghĩa vụ quân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10 ngày, kể từ ngày công dân đã đăng ký nghĩa vụ quân sự nhận được quyết định bổ nhiệm hoặc được biên chế vào chức danh thuộc diện miễn gọi nhập ngũ trong thời chiến, thì cơ quan, tổ chức nơi công dân công tác cử đại diện mang quyết định bổ nhiệm hoặc giấy xác nhận chức danh thuộc diện miễn gọi nhập ngũ trong thời chiến đến Ban Chỉ huy quân sự cấp xã để làm thủ tục đưa ra khỏi danh sách đăng ký nghĩa vụ quân sự.
Công dân đã được đưa ra khỏi danh sách đăng ký nghĩa vụ quân sự nếu không còn giữ chức vụ hoặc chức danh thuộc diện miễn gọi nhập ngũ trong thời chiến thì cơ quan, tổ chức nơi công dân công tác cử đại diện đến Ban Chỉ huy quân sự cấp xã để đăng ký nghĩa vụ quân sự lại.</w:t>
      </w:r>
    </w:p>
    <w:p>
      <w:pPr>
        <w:spacing w:after="0" w:before="0" w:lineRule="auto" w:line="276"/>
        <w:jc w:val="both"/>
      </w:pPr>
      <w:r>
        <w:rPr>
          <w:rFonts w:ascii="Times New Roman" w:hAnsi="Times New Roman" w:cs="Times New Roman" w:eastAsia="Times New Roman"/>
          <w:b w:val="false"/>
          <w:sz w:val="26"/>
        </w:rPr>
        <w:t xml:space="preserve">Bước 2: Ban Chỉ huy quân sự cấp xã có trách nhiệm đăng ký miễn gọi nhập ngũ trong thời chiến hoặc đăng ký nghĩa vụ quân sự lại.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Người đại diện của cơ quan, tổ chức làm thủ tục trực tiếp tại Ban Chỉ huy quân sự cấp xã đăng ký miễn gọi nhập ngũ trong thời hoặc đăng ký nghĩa vụ quân sự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Người đại diện của cơ quan, tổ chức làm thủ tục trực tiếp tại Ban Chỉ huy quân sự cấp xã đăng ký miễn gọi nhập ngũ trong thời hoặc đăng ký nghĩa vụ quân sự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chụp Quyết định bổ nhiệm chức vụ (mang theo bản chính để đối chiếu) hoặc giấy xác nhận của người đứng đầu cơ quan, tổ chức đối với chức danh công tác thuộc diện miễn gọi nhập ngũ trong thời chiến.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chỉ huy quân sự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ký miễn gọi nhập ngũ trong thời chiến cho công dân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78/2015/QH13</w:t>
            </w:r>
          </w:p>
        </w:tc>
        <w:tc>
          <w:p/>
          <w:p>
            <w:pPr>
              <w:spacing w:after="0" w:before="0" w:lineRule="auto" w:line="276"/>
              <w:jc w:val="left"/>
            </w:pPr>
            <w:r>
              <w:rPr>
                <w:rFonts w:ascii="Times New Roman" w:hAnsi="Times New Roman" w:cs="Times New Roman" w:eastAsia="Times New Roman"/>
                <w:b w:val="false"/>
                <w:sz w:val="26"/>
              </w:rPr>
              <w:t>	 Luật 78/2015/QH13</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13/2016/NĐ-CP	</w:t>
            </w:r>
          </w:p>
        </w:tc>
        <w:tc>
          <w:p/>
          <w:p>
            <w:pPr>
              <w:spacing w:after="0" w:before="0" w:lineRule="auto" w:line="276"/>
              <w:jc w:val="left"/>
            </w:pPr>
            <w:r>
              <w:rPr>
                <w:rFonts w:ascii="Times New Roman" w:hAnsi="Times New Roman" w:cs="Times New Roman" w:eastAsia="Times New Roman"/>
                <w:b w:val="false"/>
                <w:sz w:val="26"/>
              </w:rPr>
              <w:t>Nghị định 13/2016/NĐ-CP</w:t>
            </w:r>
          </w:p>
        </w:tc>
        <w:tc>
          <w:p/>
          <w:p>
            <w:pPr>
              <w:spacing w:after="0" w:before="0" w:lineRule="auto" w:line="276"/>
              <w:jc w:val="left"/>
            </w:pPr>
            <w:r>
              <w:rPr>
                <w:rFonts w:ascii="Times New Roman" w:hAnsi="Times New Roman" w:cs="Times New Roman" w:eastAsia="Times New Roman"/>
                <w:b w:val="false"/>
                <w:sz w:val="26"/>
              </w:rPr>
              <w:t>19-02-2016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2026-05-23T19:29:45Z</dcterms:created>
  <dc:creator>Apache POI</dc:creator>
</cp:coreProperties>
</file>