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1.009454</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870/QĐ-BXD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Công bố hoạt động bến thủy nội địa</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Hàng hải và đường thủy nội địa</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a) Nộp hồ sơ TTHC:</w:t>
      </w:r>
    </w:p>
    <w:p>
      <w:pPr>
        <w:spacing w:after="0" w:before="0" w:lineRule="auto" w:line="276"/>
        <w:jc w:val="both"/>
      </w:pPr>
      <w:r>
        <w:rPr>
          <w:rFonts w:ascii="Times New Roman" w:hAnsi="Times New Roman" w:cs="Times New Roman" w:eastAsia="Times New Roman"/>
          <w:b w:val="false"/>
          <w:sz w:val="26"/>
        </w:rPr>
        <w:t>Trước khi đưa công trình bến thủy nội địa vào khai thác, chủ bến thủy nội địa nộp hồ sơ đề nghị công bố hoạt động đến Ủy ban nhân dân cấp xã.</w:t>
      </w:r>
    </w:p>
    <w:p>
      <w:pPr>
        <w:shd w:val="clear" w:color="auto" w:fill="F2F6F9"/>
        <w:spacing w:after="0" w:before="120" w:lineRule="auto" w:line="276"/>
        <w:jc w:val="both"/>
      </w:pPr>
      <w:r>
        <w:rPr>
          <w:rFonts w:ascii="Times New Roman" w:hAnsi="Times New Roman" w:cs="Times New Roman" w:eastAsia="Times New Roman"/>
          <w:b w:val="true"/>
          <w:sz w:val="26"/>
        </w:rPr>
        <w:t>b) Giải quyết TTHC:</w:t>
      </w:r>
    </w:p>
    <w:p>
      <w:pPr>
        <w:spacing w:after="0" w:before="0" w:lineRule="auto" w:line="276"/>
        <w:jc w:val="both"/>
      </w:pPr>
      <w:r>
        <w:rPr>
          <w:rFonts w:ascii="Times New Roman" w:hAnsi="Times New Roman" w:cs="Times New Roman" w:eastAsia="Times New Roman"/>
          <w:b w:val="false"/>
          <w:sz w:val="26"/>
        </w:rPr>
        <w:t>- Trường hợp nhận hồ sơ trực tiếp, nếu hồ sơ đầy đủ thì cấp giấy biên nhận hồ sơ và hẹn trả kết quả theo thời hạn quy định; trường hợp hồ sơ không đầy đủ theo quy định thì trả lại ngay và hướng dẫn tổ chức, cá nhân hoàn thiện lại hồ sơ; trường hợp nhận hồ sơ qua hệ thống bưu chính hoặc qua hệ thống dịch vụ công trực tuyến hoặc bằng các hình thức phù hợp khác, nếu hồ sơ không đầy đủ theo quy định, trong thời hạn 02 ngày làm việc, kể từ ngày nhận được hồ sơ, cơ quan tiếp nhận hồ sơ có văn bản tổ chức, cá nhân qua hệ thống bưu chính hoặc qua hệ thống dịch vụ công trực tuyến hoặc bằng các hình thức phù hợp khác, nêu rõ lý do và yêu cầu bổ sung, hoàn thiện hồ sơ;
- Trong thời hạn 05 ngày làm việc, kể từ ngày nhận đủ hồ sơ theo quy định, Ủy ban nhân dân cấp xã ban hành quyết định công bố hoạt động bến thủy nội địa.</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t>Phí : 100000 Đồng</w:t>
              <w:t xml:space="preserve"> (Phí Thẩm tra, thẩm định: 100.000 đồng/lần.)</w:t>
            </w:r>
          </w:p>
        </w:tc>
        <w:tc>
          <w:p/>
          <w:p>
            <w:pPr>
              <w:spacing w:after="0" w:before="0" w:lineRule="auto" w:line="276"/>
              <w:jc w:val="left"/>
            </w:pPr>
            <w:r>
              <w:rPr>
                <w:rFonts w:ascii="Times New Roman" w:hAnsi="Times New Roman" w:cs="Times New Roman" w:eastAsia="Times New Roman"/>
                <w:b w:val="false"/>
                <w:sz w:val="26"/>
              </w:rPr>
              <w:t>Trong thời hạn 05 ngày làm việc, kể từ ngày nhận đủ hồ sơ theo quy định.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t>Phí : 100000 Đồng</w:t>
              <w:t xml:space="preserve"> (Phí Thẩm tra, thẩm định: 100.000 đồng/lần.)</w:t>
            </w:r>
          </w:p>
        </w:tc>
        <w:tc>
          <w:p/>
          <w:p>
            <w:pPr>
              <w:spacing w:after="0" w:before="0" w:lineRule="auto" w:line="276"/>
              <w:jc w:val="left"/>
            </w:pPr>
            <w:r>
              <w:rPr>
                <w:rFonts w:ascii="Times New Roman" w:hAnsi="Times New Roman" w:cs="Times New Roman" w:eastAsia="Times New Roman"/>
                <w:b w:val="false"/>
                <w:sz w:val="26"/>
              </w:rPr>
              <w:t>Trong thời hạn 05 ngày làm việc, kể từ ngày nhận đủ hồ sơ theo quy định.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t>Phí : 100000 Đồng</w:t>
              <w:t xml:space="preserve"> (Phí Thẩm tra, thẩm định: 100.000 đồng/lần.)</w:t>
            </w:r>
          </w:p>
        </w:tc>
        <w:tc>
          <w:p/>
          <w:p>
            <w:pPr>
              <w:spacing w:after="0" w:before="0" w:lineRule="auto" w:line="276"/>
              <w:jc w:val="left"/>
            </w:pPr>
            <w:r>
              <w:rPr>
                <w:rFonts w:ascii="Times New Roman" w:hAnsi="Times New Roman" w:cs="Times New Roman" w:eastAsia="Times New Roman"/>
                <w:b w:val="false"/>
                <w:sz w:val="26"/>
              </w:rPr>
              <w:t>Trong thời hạn 05 ngày làm việc, kể từ ngày nhận đủ hồ sơ theo quy định.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công bố hoạt động bến thủy nội địa theo mẫu;</w:t>
            </w:r>
          </w:p>
        </w:tc>
        <w:tc>
          <w:p/>
          <w:p>
            <w:pPr>
              <w:spacing w:after="0" w:before="0" w:lineRule="auto" w:line="276"/>
              <w:jc w:val="left"/>
            </w:pPr>
            <w:r>
              <w:rPr>
                <w:rFonts w:ascii="Times New Roman" w:hAnsi="Times New Roman" w:cs="Times New Roman" w:eastAsia="Times New Roman"/>
                <w:b w:val="false"/>
                <w:sz w:val="26"/>
              </w:rPr>
              <w:t>22.docx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có chứng thực quyết định phê duyệt dự án đầu tư xây dựng bến thủy nội địa của cơ quan có thẩm quyền hoặc bản sao và xuất trình bản chính để đối chiếu đối với bến thủy nội địa có dự án đầu tư xây dựng;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sao có chứng thực giấy tờ về sử dụng đất để xây dựng bến thủy nội địa hoặc bản sao và xuất trình bản chính để đối chiếu, trừ trường hợp là bến phao;</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sao có chứng thực quyết định phê duyệt báo cáo kinh tế - kỹ thuật của chủ đầu tư (đối với bến thủy nội địa có dự án đầu tư xây dựng) hoặc phương án khai thác bến thủy nội địa;</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Biên bản nghiệm thu hoàn thành công trình, bản vẽ hoàn công mặt bằng, mặt chiếu đứng, mặt cắt ngang công trình đối với bến thủy nội địa có dự án đầu tư xây dựng;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giấy chứng nhận an toàn kỹ thuật và bảo vệ môi trường của kết cấu nổi, phương tiện, pông-tông hoặc phao neo thuộc diện phải đăng kiểm (nếu sử dụng kết cấu nổi, phương tiện, pông-tông làm cầu bến hoặc bến phao).</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(Trường hợp gửi hồ sơ trực tuyến, thành phần hồ sơ là bản chính hoặc bản sao điện tử các thành phần hồ sơ tương ứng theo quy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nước ngoài,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công bố hoạt động bến thủy nội địa.</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08/2021/NĐ-CP</w:t>
            </w:r>
          </w:p>
        </w:tc>
        <w:tc>
          <w:p/>
          <w:p>
            <w:pPr>
              <w:spacing w:after="0" w:before="0" w:lineRule="auto" w:line="276"/>
              <w:jc w:val="left"/>
            </w:pPr>
            <w:r>
              <w:rPr>
                <w:rFonts w:ascii="Times New Roman" w:hAnsi="Times New Roman" w:cs="Times New Roman" w:eastAsia="Times New Roman"/>
                <w:b w:val="false"/>
                <w:sz w:val="26"/>
              </w:rPr>
              <w:t>Nghị định 08/2021/NĐ-CP</w:t>
            </w:r>
          </w:p>
        </w:tc>
        <w:tc>
          <w:p/>
          <w:p>
            <w:pPr>
              <w:spacing w:after="0" w:before="0" w:lineRule="auto" w:line="276"/>
              <w:jc w:val="left"/>
            </w:pPr>
            <w:r>
              <w:rPr>
                <w:rFonts w:ascii="Times New Roman" w:hAnsi="Times New Roman" w:cs="Times New Roman" w:eastAsia="Times New Roman"/>
                <w:b w:val="false"/>
                <w:sz w:val="26"/>
              </w:rPr>
              <w:t>28-01-2021</w:t>
            </w:r>
          </w:p>
        </w:tc>
        <w:tc>
          <w:p/>
        </w:tc>
      </w:tr>
      <w:tr>
        <w:tc>
          <w:p/>
          <w:p>
            <w:pPr>
              <w:spacing w:after="0" w:before="0" w:lineRule="auto" w:line="276"/>
              <w:jc w:val="left"/>
            </w:pPr>
            <w:r>
              <w:rPr>
                <w:rFonts w:ascii="Times New Roman" w:hAnsi="Times New Roman" w:cs="Times New Roman" w:eastAsia="Times New Roman"/>
                <w:b w:val="false"/>
                <w:sz w:val="26"/>
              </w:rPr>
              <w:t>198/2016/TT-BTC</w:t>
            </w:r>
          </w:p>
        </w:tc>
        <w:tc>
          <w:p/>
          <w:p>
            <w:pPr>
              <w:spacing w:after="0" w:before="0" w:lineRule="auto" w:line="276"/>
              <w:jc w:val="left"/>
            </w:pPr>
            <w:r>
              <w:rPr>
                <w:rFonts w:ascii="Times New Roman" w:hAnsi="Times New Roman" w:cs="Times New Roman" w:eastAsia="Times New Roman"/>
                <w:b w:val="false"/>
                <w:sz w:val="26"/>
              </w:rPr>
              <w:t>Thông tư 198/2016/TT-BTC</w:t>
            </w:r>
          </w:p>
        </w:tc>
        <w:tc>
          <w:p/>
          <w:p>
            <w:pPr>
              <w:spacing w:after="0" w:before="0" w:lineRule="auto" w:line="276"/>
              <w:jc w:val="left"/>
            </w:pPr>
            <w:r>
              <w:rPr>
                <w:rFonts w:ascii="Times New Roman" w:hAnsi="Times New Roman" w:cs="Times New Roman" w:eastAsia="Times New Roman"/>
                <w:b w:val="false"/>
                <w:sz w:val="26"/>
              </w:rPr>
              <w:t>08-11-2016</w:t>
            </w:r>
          </w:p>
        </w:tc>
        <w:tc>
          <w:p/>
        </w:tc>
      </w:tr>
      <w:tr>
        <w:tc>
          <w:p/>
          <w:p>
            <w:pPr>
              <w:spacing w:after="0" w:before="0" w:lineRule="auto" w:line="276"/>
              <w:jc w:val="left"/>
            </w:pPr>
            <w:r>
              <w:rPr>
                <w:rFonts w:ascii="Times New Roman" w:hAnsi="Times New Roman" w:cs="Times New Roman" w:eastAsia="Times New Roman"/>
                <w:b w:val="false"/>
                <w:sz w:val="26"/>
              </w:rPr>
              <w:t>06/2024/NĐ-CP</w:t>
            </w:r>
          </w:p>
        </w:tc>
        <w:tc>
          <w:p/>
          <w:p>
            <w:pPr>
              <w:spacing w:after="0" w:before="0" w:lineRule="auto" w:line="276"/>
              <w:jc w:val="left"/>
            </w:pPr>
            <w:r>
              <w:rPr>
                <w:rFonts w:ascii="Times New Roman" w:hAnsi="Times New Roman" w:cs="Times New Roman" w:eastAsia="Times New Roman"/>
                <w:b w:val="false"/>
                <w:sz w:val="26"/>
              </w:rPr>
              <w:t>Sửa đổi, bổ sung một số điều của Nghị định số 08/2021/NĐ-CP ngày 28 tháng 01 năm 2021 của Chính phủ quy định về quản lý hoạt động đường thủy nội địa</w:t>
            </w:r>
          </w:p>
        </w:tc>
        <w:tc>
          <w:p/>
          <w:p>
            <w:pPr>
              <w:spacing w:after="0" w:before="0" w:lineRule="auto" w:line="276"/>
              <w:jc w:val="left"/>
            </w:pPr>
            <w:r>
              <w:rPr>
                <w:rFonts w:ascii="Times New Roman" w:hAnsi="Times New Roman" w:cs="Times New Roman" w:eastAsia="Times New Roman"/>
                <w:b w:val="false"/>
                <w:sz w:val="26"/>
              </w:rPr>
              <w:t>25-01-2024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140/2025/NĐ-CP</w:t>
            </w:r>
          </w:p>
        </w:tc>
        <w:tc>
          <w:p/>
          <w:p>
            <w:pPr>
              <w:spacing w:after="0" w:before="0" w:lineRule="auto" w:line="276"/>
              <w:jc w:val="left"/>
            </w:pPr>
            <w:r>
              <w:rPr>
                <w:rFonts w:ascii="Times New Roman" w:hAnsi="Times New Roman" w:cs="Times New Roman" w:eastAsia="Times New Roman"/>
                <w:b w:val="false"/>
                <w:sz w:val="26"/>
              </w:rPr>
              <w:t>quy định về phân định thẩm quyền của chính quyền địa phương 02 cấp trong lĩnh vực quản lý nhà nước của Bộ Xây dựng</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2026-05-22T10:11:21Z</dcterms:created>
  <dc:creator>Apache POI</dc:creator>
</cp:coreProperties>
</file>