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kiểm định viên đối với trường hợp bị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đề nghị cấp lại Chứng chỉ kiểm định viên 
Cá nhân có nhu cầu cấp lại chứng chỉ kiểm định viên gửi 01 bộ hồ sơ đề nghị cấp Chứng chỉ kiểm định viên đến Cơ quan thực hiện (cơ quan chuyên môn thuộc các bộ có thẩm quyền cấp Giấy chứng nhận đủ điều kiện hoạt động kiểm định quy định tại Phụ lục Ib ban hành kèm theo Nghị định số 44/2016/NĐ-CP; Sở Xây dựng thành phố Hồ Chí Minh theo phân cấp được quy định tại điểm b Khoản 3 Điều 6 Nghị định số 84/2024/NĐ-CP đối với thẩm quyền của Bộ Xây dựng; Ủy ban nhân dân cấp tỉnh theo phân cấp tại khoản 1 Điều 27 Nghị định số 146/2025/NĐ-CP đối với thẩm quyền của Bộ Công Thương quản lý).</w:t>
      </w:r>
    </w:p>
    <w:p>
      <w:pPr>
        <w:spacing w:after="0" w:before="0" w:lineRule="auto" w:line="276"/>
        <w:jc w:val="both"/>
      </w:pPr>
      <w:r>
        <w:rPr>
          <w:rFonts w:ascii="Times New Roman" w:hAnsi="Times New Roman" w:cs="Times New Roman" w:eastAsia="Times New Roman"/>
          <w:b w:val="false"/>
          <w:sz w:val="26"/>
        </w:rPr>
        <w:t>- Bước 2: Đánh giá hồ sơ đề nghị cấp lại chứng chỉ kiểm định viên</w:t>
      </w:r>
    </w:p>
    <w:p>
      <w:pPr>
        <w:spacing w:after="0" w:before="0" w:lineRule="auto" w:line="276"/>
        <w:jc w:val="both"/>
      </w:pPr>
      <w:r>
        <w:rPr>
          <w:rFonts w:ascii="Times New Roman" w:hAnsi="Times New Roman" w:cs="Times New Roman" w:eastAsia="Times New Roman"/>
          <w:b w:val="false"/>
          <w:sz w:val="26"/>
        </w:rPr>
        <w:t>- Bước 3: Cấp lại chứng chỉ kiểm định viên hoặc công văn trả lời và nêu rõ lý do không cấp
Không quá 05 ngày làm việc từ khi nhận được hồ sơ đầy đủ theo quy định, Cơ quan thực hiện cấp lại Chứng chỉ kiểm định viên hoặc có công văn trả lời và nêu rõ lý do không cấp lại chứng chỉ kiểm định viên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05 ngày làm việc (kể từ khi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05 ngày làm việc (kể từ khi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qua dịch vụ bưu chính hoặc trực tiếp. Không quá 05 ngày làm việc (kể từ khi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kiểm định viên (01 bản);</w:t>
            </w:r>
          </w:p>
        </w:tc>
        <w:tc>
          <w:p/>
          <w:p>
            <w:pPr>
              <w:spacing w:after="0" w:before="0" w:lineRule="auto" w:line="276"/>
              <w:jc w:val="left"/>
            </w:pPr>
            <w:r>
              <w:rPr>
                <w:rFonts w:ascii="Times New Roman" w:hAnsi="Times New Roman" w:cs="Times New Roman" w:eastAsia="Times New Roman"/>
                <w:b w:val="false"/>
                <w:sz w:val="26"/>
              </w:rPr>
              <w:t>56789.Mus03PhlcIIbanhnhkmtheoNghnhs42023.docx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việc thực hiện các yêu cầu, kiến nghị của cơ quan có thẩm quyền về khắc phục sai phạm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đã hoàn thành khóa huấn luyện và sát hạch đạt yêu cầu về nghiệp vụ kiểm định kỹ thuật an toàn lao động với đối tượng kiểm định tổ chức sau thời điểm quyết định thu hồi chứng chỉ có hiệu lực đối với trường hợp quy định tại các điểm c và đ Khoản 2 Điều 14 Nghị định số 44/2016/NĐ-CP,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màu cỡ 3x4 của người đề nghị cấp lại chứng chỉ chụp trong khoảng thời gian 06 tháng, kể từ ngày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Ủy ban nhân dân cấp tỉnh, Bộ, ngành và Ủy ban nhân dân tỉnh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Việc làm, Bộ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kiểm định viên hoặc công văn trả lời nêu rõ lý do không cấp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an toàn, vệ sinh lao động về hoạt động kiểm định kỹ thuật an toàn lao động, huấn luyện an toàn, vệ sinh lao động và quan trắc môi trường lao động</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13-02-2023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chỉ kiểm định viên chỉ được xem xét cấp lại sau thời hạn ít nhất 06 tháng, kể từ ngày bị thu hồi.
- Thực hiện các yêu cầu, kiến nghị của cơ quan có thẩm quyền về khắc phục sai phạm;
	- Đã hoàn thành khóa huấn luyện và sát hạch đạt yêu cầu về nghiệp vụ kiểm định kỹ thuật an toàn lao động với đối tượng kiểm định tổ chức sau thời điểm quyết định thu hồi chứng chỉ có hiệu lực đối với trường hợp: không làm việc tại bất kỳ tổ chức kiểm định nào từ 12 tháng trở lên; thực hiện kiểm định không đúng quy trình kiểm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2026-05-22T05:27:29Z</dcterms:created>
  <dc:creator>Apache POI</dc:creator>
</cp:coreProperties>
</file>