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3453/QĐ-BTC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Trình tự chuẩn bị dự án đầu tư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theo phương thức đối tác công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Đối với dự án thuộc trường hợp quyết định chủ trương đầu tư:</w:t>
      </w:r>
    </w:p>
    <w:p>
      <w:pPr>
        <w:spacing w:after="0" w:before="0" w:lineRule="auto" w:line="276"/>
        <w:jc w:val="both"/>
      </w:pPr>
      <w:r>
        <w:rPr>
          <w:rFonts w:ascii="Times New Roman" w:hAnsi="Times New Roman" w:cs="Times New Roman" w:eastAsia="Times New Roman"/>
          <w:b w:val="false"/>
          <w:sz w:val="26"/>
        </w:rPr>
        <w:t>(i) Nhà đầu tư gửi văn bản đề xuất thực hiện dự án PPP đến cơ quan có thẩm quyền theo hình thức trực tiếp hoặc qua bưu chính.</w:t>
      </w:r>
    </w:p>
    <w:p>
      <w:pPr>
        <w:spacing w:after="0" w:before="0" w:lineRule="auto" w:line="276"/>
        <w:jc w:val="both"/>
      </w:pPr>
      <w:r>
        <w:rPr>
          <w:rFonts w:ascii="Times New Roman" w:hAnsi="Times New Roman" w:cs="Times New Roman" w:eastAsia="Times New Roman"/>
          <w:b w:val="false"/>
          <w:sz w:val="26"/>
        </w:rPr>
        <w:t>(ii) Cơ quan có thẩm quyền xem xét, trả lời bằng văn bản chấp thuận hoặc không chấp thuận việc nhà đầu tư lập báo cáo nghiên cứu tiền khả thi, báo cáo đề xuất chủ trương đầu tư.</w:t>
      </w:r>
    </w:p>
    <w:p>
      <w:pPr>
        <w:shd w:val="clear" w:color="auto" w:fill="F2F6F9"/>
        <w:spacing w:after="0" w:before="120" w:lineRule="auto" w:line="276"/>
        <w:jc w:val="both"/>
      </w:pPr>
      <w:r>
        <w:rPr>
          <w:rFonts w:ascii="Times New Roman" w:hAnsi="Times New Roman" w:cs="Times New Roman" w:eastAsia="Times New Roman"/>
          <w:b w:val="true"/>
          <w:sz w:val="26"/>
        </w:rPr>
        <w:t>b) Đối với dự án không thuộc trường hợp quyết định chủ trương đầu tư:</w:t>
      </w:r>
    </w:p>
    <w:p>
      <w:pPr>
        <w:spacing w:after="0" w:before="0" w:lineRule="auto" w:line="276"/>
        <w:jc w:val="both"/>
      </w:pPr>
      <w:r>
        <w:rPr>
          <w:rFonts w:ascii="Times New Roman" w:hAnsi="Times New Roman" w:cs="Times New Roman" w:eastAsia="Times New Roman"/>
          <w:b w:val="false"/>
          <w:sz w:val="26"/>
        </w:rPr>
        <w:t>(i) Nhà đầu tư gửi văn bản đề xuất thực hiện dự án PPP đến cơ quan có thẩm quyền theo hình thức trực tiếp hoặc qua bưu chính. Trường hợp đề xuất áp dụng quy trình thực hiện dự án quy định tại khoản 4 Điều 11 của Luật PPP, nhà đầu tư phải thuyết minh căn cứ áp dụng.</w:t>
      </w:r>
    </w:p>
    <w:p>
      <w:pPr>
        <w:spacing w:after="0" w:before="0" w:lineRule="auto" w:line="276"/>
        <w:jc w:val="both"/>
      </w:pPr>
      <w:r>
        <w:rPr>
          <w:rFonts w:ascii="Times New Roman" w:hAnsi="Times New Roman" w:cs="Times New Roman" w:eastAsia="Times New Roman"/>
          <w:b w:val="false"/>
          <w:sz w:val="26"/>
        </w:rPr>
        <w:t>(ii) Cơ quan có thẩm quyền xem xét, trả lời bằng văn bản chấp thuận hoặc không chấp thuận việc nhà đầu tư lập báo cáo nghiên cứu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xuất thực hiện dự án của nhà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văn bản đề xuất thực hiện dự án của nhà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Văn bản chấp thuận việc nhà đầu tư đề xuất dự án gồm các nội dung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nhà đầu tư lập hồ sơ đề xuất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Thời hạn, địa điểm nộp hồ sơ đề xuất dự án; cơ quan, đơn vị tiếp nhận hồ sơ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 định về trách nhiệm của nhà đầu tư chịu mọi chi phí, rủi ro trong trường hợp hồ sơ đề xuất dự án không được chấp thuận và nguyên tắc xử lý trong trường hợp nhà đầu tư đề xuất dự án không được lựa chọn;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Trách nhiệm, cách thức phối hợp của các cơ quan có liên quan trong việc hướng dẫn nhà đầu tư lập hồ sơ đề xuất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nội dung khác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hoặc không chấp thuận việc nhà đầu tư lập báo cáo nghiên cứu tiền khả thi, Báo cáo đề xuất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64/2020/QH14</w:t>
            </w:r>
          </w:p>
        </w:tc>
        <w:tc>
          <w:p/>
          <w:p>
            <w:pPr>
              <w:spacing w:after="0" w:before="0" w:lineRule="auto" w:line="276"/>
              <w:jc w:val="left"/>
            </w:pPr>
            <w:r>
              <w:rPr>
                <w:rFonts w:ascii="Times New Roman" w:hAnsi="Times New Roman" w:cs="Times New Roman" w:eastAsia="Times New Roman"/>
                <w:b w:val="false"/>
                <w:sz w:val="26"/>
              </w:rPr>
              <w:t>Luật Đầu tư theo phương thức đối tác công tư</w:t>
            </w:r>
          </w:p>
        </w:tc>
        <w:tc>
          <w:p/>
          <w:p>
            <w:pPr>
              <w:spacing w:after="0" w:before="0" w:lineRule="auto" w:line="276"/>
              <w:jc w:val="left"/>
            </w:pPr>
            <w:r>
              <w:rPr>
                <w:rFonts w:ascii="Times New Roman" w:hAnsi="Times New Roman" w:cs="Times New Roman" w:eastAsia="Times New Roman"/>
                <w:b w:val="false"/>
                <w:sz w:val="26"/>
              </w:rPr>
              <w:t>18-06-2020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29/2021/NĐ-CP</w:t>
            </w:r>
          </w:p>
        </w:tc>
        <w:tc>
          <w:p/>
          <w:p>
            <w:pPr>
              <w:spacing w:after="0" w:before="0" w:lineRule="auto" w:line="276"/>
              <w:jc w:val="left"/>
            </w:pPr>
            <w:r>
              <w:rPr>
                <w:rFonts w:ascii="Times New Roman" w:hAnsi="Times New Roman" w:cs="Times New Roman" w:eastAsia="Times New Roman"/>
                <w:b w:val="false"/>
                <w:sz w:val="26"/>
              </w:rPr>
              <w:t>Nghị định số 29/2021/NĐ-CP Quy định về trịnh tự, thủ tục thẩm định dự án quan trọng quốc gia và giám sát, đánh giá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03/2022/QH15</w:t>
            </w:r>
          </w:p>
        </w:tc>
        <w:tc>
          <w:p/>
          <w:p>
            <w:pPr>
              <w:spacing w:after="0" w:before="0" w:lineRule="auto" w:line="276"/>
              <w:jc w:val="left"/>
            </w:pPr>
            <w:r>
              <w:rPr>
                <w:rFonts w:ascii="Times New Roman" w:hAnsi="Times New Roman" w:cs="Times New Roman" w:eastAsia="Times New Roman"/>
                <w:b w:val="false"/>
                <w:sz w:val="26"/>
              </w:rPr>
              <w:t>Luật 03/2022/QH15</w:t>
            </w:r>
          </w:p>
        </w:tc>
        <w:tc>
          <w:p/>
          <w:p>
            <w:pPr>
              <w:spacing w:after="0" w:before="0" w:lineRule="auto" w:line="276"/>
              <w:jc w:val="left"/>
            </w:pPr>
            <w:r>
              <w:rPr>
                <w:rFonts w:ascii="Times New Roman" w:hAnsi="Times New Roman" w:cs="Times New Roman" w:eastAsia="Times New Roman"/>
                <w:b w:val="false"/>
                <w:sz w:val="26"/>
              </w:rPr>
              <w:t>11-01-2022</w:t>
            </w:r>
          </w:p>
        </w:tc>
        <w:tc>
          <w:p/>
        </w:tc>
      </w:tr>
      <w:tr>
        <w:tc>
          <w:p/>
          <w:p>
            <w:pPr>
              <w:spacing w:after="0" w:before="0" w:lineRule="auto" w:line="276"/>
              <w:jc w:val="left"/>
            </w:pPr>
            <w:r>
              <w:rPr>
                <w:rFonts w:ascii="Times New Roman" w:hAnsi="Times New Roman" w:cs="Times New Roman" w:eastAsia="Times New Roman"/>
                <w:b w:val="false"/>
                <w:sz w:val="26"/>
              </w:rPr>
              <w:t>57/2024/QH15</w:t>
            </w:r>
          </w:p>
        </w:tc>
        <w:tc>
          <w:p/>
          <w:p>
            <w:pPr>
              <w:spacing w:after="0" w:before="0" w:lineRule="auto" w:line="276"/>
              <w:jc w:val="left"/>
            </w:pPr>
            <w:r>
              <w:rPr>
                <w:rFonts w:ascii="Times New Roman" w:hAnsi="Times New Roman" w:cs="Times New Roman" w:eastAsia="Times New Roman"/>
                <w:b w:val="false"/>
                <w:sz w:val="26"/>
              </w:rPr>
              <w:t>Luật số 57/2024/QH15 ngày 29/11/2024</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90/2025/QH15</w:t>
            </w:r>
          </w:p>
        </w:tc>
        <w:tc>
          <w:p/>
          <w:p>
            <w:pPr>
              <w:spacing w:after="0" w:before="0" w:lineRule="auto" w:line="276"/>
              <w:jc w:val="left"/>
            </w:pPr>
            <w:r>
              <w:rPr>
                <w:rFonts w:ascii="Times New Roman" w:hAnsi="Times New Roman" w:cs="Times New Roman" w:eastAsia="Times New Roman"/>
                <w:b w:val="false"/>
                <w:sz w:val="26"/>
              </w:rPr>
              <w:t>Trang chủ Luật số 90/2025/QH15 của Quốc hội: Luật sửa đổi, bổ sung một số điều của Luật Đấu thầu, Luật Đầu tư theo phương thức đối tác công tư, Luật Hải quan, Luật Thuế giá trị gia tăng, Luật Thuế xuất khẩu, thuế nhập khẩu, Luật Đầu tư, Luật Đầu tư công, Luật Quản lý, sử dụng tài sản công</w:t>
            </w:r>
          </w:p>
        </w:tc>
        <w:tc>
          <w:p/>
          <w:p>
            <w:pPr>
              <w:spacing w:after="0" w:before="0" w:lineRule="auto" w:line="276"/>
              <w:jc w:val="left"/>
            </w:pPr>
            <w:r>
              <w:rPr>
                <w:rFonts w:ascii="Times New Roman" w:hAnsi="Times New Roman" w:cs="Times New Roman" w:eastAsia="Times New Roman"/>
                <w:b w:val="false"/>
                <w:sz w:val="26"/>
              </w:rPr>
              <w:t>25-06-2025</w:t>
            </w:r>
          </w:p>
        </w:tc>
        <w:tc>
          <w:p/>
        </w:tc>
      </w:tr>
      <w:tr>
        <w:tc>
          <w:p/>
          <w:p>
            <w:pPr>
              <w:spacing w:after="0" w:before="0" w:lineRule="auto" w:line="276"/>
              <w:jc w:val="left"/>
            </w:pPr>
            <w:r>
              <w:rPr>
                <w:rFonts w:ascii="Times New Roman" w:hAnsi="Times New Roman" w:cs="Times New Roman" w:eastAsia="Times New Roman"/>
                <w:b w:val="false"/>
                <w:sz w:val="26"/>
              </w:rPr>
              <w:t>243/2025/NĐ-CP</w:t>
            </w:r>
          </w:p>
        </w:tc>
        <w:tc>
          <w:p/>
          <w:p>
            <w:pPr>
              <w:spacing w:after="0" w:before="0" w:lineRule="auto" w:line="276"/>
              <w:jc w:val="left"/>
            </w:pPr>
            <w:r>
              <w:rPr>
                <w:rFonts w:ascii="Times New Roman" w:hAnsi="Times New Roman" w:cs="Times New Roman" w:eastAsia="Times New Roman"/>
                <w:b w:val="false"/>
                <w:sz w:val="26"/>
              </w:rPr>
              <w:t>Nghị định số 243/2025/NĐ-CP của Chính phủ: Quy định chi tiết một số điều của Luật Đầu tư theo phương thức đối tác công tư</w:t>
            </w:r>
          </w:p>
        </w:tc>
        <w:tc>
          <w:p/>
          <w:p>
            <w:pPr>
              <w:spacing w:after="0" w:before="0" w:lineRule="auto" w:line="276"/>
              <w:jc w:val="left"/>
            </w:pPr>
            <w:r>
              <w:rPr>
                <w:rFonts w:ascii="Times New Roman" w:hAnsi="Times New Roman" w:cs="Times New Roman" w:eastAsia="Times New Roman"/>
                <w:b w:val="false"/>
                <w:sz w:val="26"/>
              </w:rPr>
              <w:t>11-09-2025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257/2025/NĐ-CP</w:t>
            </w:r>
          </w:p>
        </w:tc>
        <w:tc>
          <w:p/>
          <w:p>
            <w:pPr>
              <w:spacing w:after="0" w:before="0" w:lineRule="auto" w:line="276"/>
              <w:jc w:val="left"/>
            </w:pPr>
            <w:r>
              <w:rPr>
                <w:rFonts w:ascii="Times New Roman" w:hAnsi="Times New Roman" w:cs="Times New Roman" w:eastAsia="Times New Roman"/>
                <w:b w:val="false"/>
                <w:sz w:val="26"/>
              </w:rPr>
              <w:t>Nghị định số 257/2025/NĐ-CP của Chính phủ: Quy định chi tiết về việc thực hiện dự án áp dụng loại hợp đồng Xây dựng - Chuyển giao</w:t>
            </w:r>
          </w:p>
        </w:tc>
        <w:tc>
          <w:p/>
          <w:p>
            <w:pPr>
              <w:spacing w:after="0" w:before="0" w:lineRule="auto" w:line="276"/>
              <w:jc w:val="left"/>
            </w:pPr>
            <w:r>
              <w:rPr>
                <w:rFonts w:ascii="Times New Roman" w:hAnsi="Times New Roman" w:cs="Times New Roman" w:eastAsia="Times New Roman"/>
                <w:b w:val="false"/>
                <w:sz w:val="26"/>
              </w:rPr>
              <w:t>08-10-2025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Trình tự, chuẩn bị, dự án đầu tư,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2026-05-01T09:02:15Z</dcterms:created>
  <dc:creator>Apache POI</dc:creator>
</cp:coreProperties>
</file>