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1924/QĐ_BQP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chứng thư số của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được cấp chứng thư số có văn bản đề nghị thu hồi chứng thư số của cá nhân có xác nhận của cơ quan, tổ chức quản lý trực tiếp hoặc cơ quan, tổ chức quản lý thuê bao có văn bản đề nghị thu hồi chứng thư số của cá nhân gửi đến Cục Chứng thực số và Bảo mật thông tin/Ban Cơ yếu Chính phủ.</w:t>
      </w:r>
    </w:p>
    <w:p>
      <w:pPr>
        <w:spacing w:after="0" w:before="0" w:lineRule="auto" w:line="276"/>
        <w:jc w:val="both"/>
      </w:pPr>
      <w:r>
        <w:rPr>
          <w:rFonts w:ascii="Times New Roman" w:hAnsi="Times New Roman" w:cs="Times New Roman" w:eastAsia="Times New Roman"/>
          <w:b w:val="false"/>
          <w:sz w:val="26"/>
        </w:rPr>
        <w:t>Bước 2. Trong thời hạn 12 giờ, kể từ khi nhận được đề nghị thu hồi chứng thư số, Cục Chứng thực số và Bảo mật thông tin/Ban Cơ yếu Chính phủ phải làm mất hiệu lực của chứng thư số và công bố chứng thư số bị thu hồi trên trang Thông tin điện tử của Cục Chứng thực số và Bảo mật thông tin; đồng thời thông báo thu hồi thiết bị lưu khóa bí mật cho cơ quan, tổ chức quản lý trực tiếp.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chứng thư số có xác nhận của cơ quan, tổ chức quản lý trực tiếp.</w:t>
            </w:r>
          </w:p>
        </w:tc>
        <w:tc>
          <w:p/>
          <w:p>
            <w:pPr>
              <w:spacing w:after="0" w:before="0" w:lineRule="auto" w:line="276"/>
              <w:jc w:val="left"/>
            </w:pPr>
            <w:r>
              <w:rPr>
                <w:rFonts w:ascii="Times New Roman" w:hAnsi="Times New Roman" w:cs="Times New Roman" w:eastAsia="Times New Roman"/>
                <w:b w:val="false"/>
                <w:sz w:val="26"/>
              </w:rPr>
              <w:t>MAU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quản lý trực tiếp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Chứng thực số và Bảo mật thông tin/Ban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Chứng thư số bị mất hiệu lực; thiết bị lưu khóa bí mật được thu hồi.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130/2018/NĐ-CP</w:t>
            </w:r>
          </w:p>
        </w:tc>
        <w:tc>
          <w:p/>
          <w:p>
            <w:pPr>
              <w:spacing w:after="0" w:before="0" w:lineRule="auto" w:line="276"/>
              <w:jc w:val="left"/>
            </w:pPr>
            <w:r>
              <w:rPr>
                <w:rFonts w:ascii="Times New Roman" w:hAnsi="Times New Roman" w:cs="Times New Roman" w:eastAsia="Times New Roman"/>
                <w:b w:val="false"/>
                <w:sz w:val="26"/>
              </w:rPr>
              <w:t>Nghị định số 130/2018/NĐ-CP ngày 27/9/2018 của Chính phủ quy định chi tiết thi hành Luật giao dịch điện tử về chữ ký số và dịch vụ chứng thực chữ ký số.</w:t>
            </w:r>
          </w:p>
        </w:tc>
        <w:tc>
          <w:p/>
          <w:p>
            <w:pPr>
              <w:spacing w:after="0" w:before="0" w:lineRule="auto" w:line="276"/>
              <w:jc w:val="left"/>
            </w:pPr>
            <w:r>
              <w:rPr>
                <w:rFonts w:ascii="Times New Roman" w:hAnsi="Times New Roman" w:cs="Times New Roman" w:eastAsia="Times New Roman"/>
                <w:b w:val="false"/>
                <w:sz w:val="26"/>
              </w:rPr>
              <w:t>27-09-2018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Chứng thư số hết hạn sử dụng;
+ Theo yêu cầu bằng văn bản từ thuê bao, có xác nhận của cơ quan, tổ chức quản lý trực tiếp trong các trường hợp: Khóa bí mật bị lộ hoặc nghi bị lộ; thiết bị lưu khóa bí mật bị thất lạc hoặc các trường hợp mất an toàn khác; thiết bị lưu khóa bí mật bị hỏng;
+ Theo yêu cầu bằng văn bản của cơ quan tiến hành tố tụng, cơ quan công an;
+ Thuê bao vi phạm các quy định về quản lý, sử dụng thiết bị lưu khóa bí mật  được quy định tại Điều 74 Nghị định số 130/2018/NĐ-CP;
+ Cá nhân thay đổi vị trí công tác mà thông tin về vị trí công tác mới không phù hợp với thông tin trong chứng thư số;
+ Cá nhân nghỉ hưu, thôi việc, từ trần.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2026-05-23T16:28:51Z</dcterms:created>
  <dc:creator>Apache POI</dc:creator>
</cp:coreProperties>
</file>