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1.009504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3169/QĐ-BTC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chào bán thêm cổ phiếu ra công chúng với giá thấp hơn mệnh giá của công ty đại chúng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khoán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Công ty đại chúng (CTĐC) nộp hồ sơ đăng ký chào bán cổ phiếu ra công chúng với giá thấp hơn mệnh giá cho Ủy ban Chứng khoán Nhà nước (UBCKNN).
+ Bước 2: UBCKNN tiếp nhận, xem xét hồ sơ.
+ Bước 3: Sau khi nhận đầy đủ hồ sơ hợp lệ, UBCKNN cấp Giấy chứng nhận đăng ký chào bán cổ phiếu ra công chúng với giá thấp hơn mệnh giá. Trường hợp từ chối, UBCKNN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Lệ phí : Thông tư 272/2016/TT-BTC Đồng</w:t>
              <w:br/>
              <w:t>File đính kèm: 272-2016-TT-BTC.pdf</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Lệ phí : Thông tư 272/2016/TT-BTC Đồng</w:t>
              <w:br/>
              <w:t>File đính kèm: 272-2016-TT-BTC.pdf</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đăng ký chào bán thêm cổ phiếu ra công chúng theo Mẫu số 05 Phụ lục ban hành kèm theo Nghị định 155/2020/NĐ-CP. + Quyết định của Đại hội đồng cổ đông thông qua phương án phát hành, phương án sử dụng vốn thu được từ đợt chào bán, thông qua việc niêm yết hoặc đăng ký giao dịch cổ phiếu trên hệ thống giao dịch chứng khoán, trong đó: a) Phương án phát hành phải nêu rõ: loại cổ phiếu chào bán; số lượng cổ phiếu từng loại chào bán; đặc tính của cổ phiếu (trong trường hợp cổ phiếu chào bán không phải cổ phiếu phổ thông); giá chào bán hoặc nguyên tắc xác định giá chào bán hoặc ủy quyền cho Hội đồng quản trị xác định giá chào bán; thông qua hoặc ủy quyền cho Hội đồng quản trị thông qua phương án đảm bảo việc phát hành cổ phiếu đáp ứng quy định về tỷ lệ sở hữu nước ngoài. Trường hợp phương án phát hành không nêu cụ thể giá chào bán, nguyên tắc xác định giá chào bán thì giá chào bán được xác định theo quy định tại Luật Doanh nghiệp; b) Đối với đợt chào bán để thực hiện dự án, phương án sử dụng vốn phải xác định tỷ lệ chào bán thành công cho mục đích thực hiện dự án tối thiểu là 70% tổng số cổ phiếu dự kiến chào bán để thực hiện các dự án; phương án bù đắp phần thiếu hụt vốn dự kiến huy động từ đợt chào bán để thực hiện các dự án. + Báo cáo tài chính của tổ chức phát hành trong 02 năm gần nhất phải đáp ứng quy định tại Điều 20 Luật Chứng khoán, trong đó: a) Trường hợp hồ sơ được nộp trong thời gian 60 ngày kể từ ngày kết thúc kỳ kế toán năm, báo cáo tài chính năm của năm trước đó trong hồ sơ ban đầu có thể là báo cáo tài chính chưa có kiểm toán, nhưng phải có báo cáo tài chính được kiểm toán của 02 năm trước liền kề. Trường hợp tổ chức phát hành hoàn thiện hồ sơ sau 90 ngày kể từ ngày kết thúc kỳ kế toán năm, tổ chức phát hành phải bổ sung báo cáo tài chính năm gần nhất được kiểm toán; b) Trường hợp tổ chức phát hành thực hiện phát hành cổ phiếu để tăng vốn điều lệ sau ngày kết thúc kỳ kế toán gần nhất được kiểm toán hoặc soát xét (trừ trường hợp phát hành cổ phiếu để trả cổ tức, phát hành cổ phiếu để tăng vốn cổ phần từ nguồn vốn chủ sở hữu, phát hành cổ phiếu thưởng cho người lao động, phát hành cổ phiếu để chuyển đổi trái phiếu), tổ chức phát hành phải bổ sung báo cáo về vốn góp của chủ sở hữu được kiểm toán bởi tổ chức kiểm toán được chấp thuận. + Điều lệ của Tổ chức phát hành + Văn bản xác nhận của ngân hàng, chi nhánh ngân hàng nước ngoài về việc mở tài khoản phong tỏa nhận tiền mua cổ phiếu của đợt chào bán; + Quyết định của cơ quan có thẩm quyền phê duyệt dự án, phương án bù đắp phần thiếu hụt vốn dự kiến huy động từ đợt chào bán để thực hiện dự án đối với trường hợp quy định tại điểm d khoản 2 Điều 15 của Luật chứng khoán + Báo cáo sử dụng vốn thu được từ đợt chào bán gần nhất được kiểm toán trong 02 năm tính đến thời điểm nộp hồ sơ, trừ trường hợp báo cáo tài chính được kiểm toán đã có thuyết minh chi tiết việc sử dụng vốn thu được từ đợt chào bán gần nhất. + Bản cáo bạch + Hợp đồng tư vấn hồ sơ đăng ký chào bán cổ phiếu ra công chúng với công ty chứng khoán, trừ trường hợp tổ chức phát hành là công ty chứng khoán + Cam kết bảo lãnh phát hành cổ phiếu ra công chúng (nếu có) theo Mẫu số 04 Phụ lục ban hành kèm theo Nghị định 155/2020/NĐ-CP. Trường hợp có tổ hợp bảo lãnh phát hành, cam kết bảo lãnh phát hành của tổ chức bảo lãnh phát hành chính phải kèm theo hợp đồng giữa các tổ chức bảo lãnh phát hành. Các tài liệu này phải được gửi đến Ủy ban Chứng khoán Nhà nước trước ngày cấp Giấy chứng nhận đăng ký chào bán + Quyết định của Hội đồng quản trị thông qua hồ sơ đăng ký chào bán cổ phiếu ra công chúng. Đối với việc chào bán cổ phiếu ra công chúng của tổ chức tín dụng, hồ sơ phải có văn bản chấp thuận của Ngân hàng Nhà nước Việt Nam về thay đổi vốn điều lệ. Đối với việc chào bán cổ phiếu ra công chúng của tổ chức kinh doanh bảo hiểm, hồ sơ phải có văn bản chấp thuận của Bộ Tài chính về thay đổi vốn điều lệ. + Văn bản cam kết của Hội đồng quản trị triển khai niêm yết hoặc đăng ký giao dịch cổ phiếu trên hệ thống giao dịch chứng khoán yết hoặc đăng ký giao dịch cổ phiếu + Cam kết tổ chức phát hành không thuộc trường hợp đang bị truy cứu trách nhiệm hình sự hoặc bị kết án về một trong các tội phạm trật tự quản lý kinh tế mà chưa được xóa án tích. + Bảng thống kê giá tham chiếu cổ phiếu của 60 ngày giao dịch liên tiếp liền trước ngày chốt danh sách cổ đông để lấy ý kiến hoặc họp Đại hội đồng cổ đông thông qua phương án phát hành có xác nhận của tổ chức tư vấn hồ sơ đăng ký chào bán cổ phiếu ra công chúng.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Chứng khoán Nhà nước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1 cửa Ủy ban Chứng khoán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chào bán cổ phiếu ra công chúng với giá thấp hơn mệnh giá hoặc công văn từ chối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155/2020/NĐ-CP</w:t>
            </w:r>
          </w:p>
        </w:tc>
        <w:tc>
          <w:p/>
          <w:p>
            <w:pPr>
              <w:spacing w:after="0" w:before="0" w:lineRule="auto" w:line="276"/>
              <w:jc w:val="left"/>
            </w:pPr>
            <w:r>
              <w:rPr>
                <w:rFonts w:ascii="Times New Roman" w:hAnsi="Times New Roman" w:cs="Times New Roman" w:eastAsia="Times New Roman"/>
                <w:b w:val="false"/>
                <w:sz w:val="26"/>
              </w:rPr>
              <w:t>Nghị định 155/2020/NĐ-CP</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272/2016/TT-BTC</w:t>
            </w:r>
          </w:p>
        </w:tc>
        <w:tc>
          <w:p/>
          <w:p>
            <w:pPr>
              <w:spacing w:after="0" w:before="0" w:lineRule="auto" w:line="276"/>
              <w:jc w:val="left"/>
            </w:pPr>
            <w:r>
              <w:rPr>
                <w:rFonts w:ascii="Times New Roman" w:hAnsi="Times New Roman" w:cs="Times New Roman" w:eastAsia="Times New Roman"/>
                <w:b w:val="false"/>
                <w:sz w:val="26"/>
              </w:rPr>
              <w:t>Thông tư 272/2016/TT-BTC</w:t>
            </w:r>
          </w:p>
        </w:tc>
        <w:tc>
          <w:p/>
          <w:p>
            <w:pPr>
              <w:spacing w:after="0" w:before="0" w:lineRule="auto" w:line="276"/>
              <w:jc w:val="left"/>
            </w:pPr>
            <w:r>
              <w:rPr>
                <w:rFonts w:ascii="Times New Roman" w:hAnsi="Times New Roman" w:cs="Times New Roman" w:eastAsia="Times New Roman"/>
                <w:b w:val="false"/>
                <w:sz w:val="26"/>
              </w:rPr>
              <w:t>14-11-2016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Giá cổ phiếu của tổ chức phát hành giao dịch trên hệ thống giao dịch chứng khoán thấp hơn mệnh giá, trong đó giá cổ phiếu được tính bằng bình quân giá tham chiếu của 60 ngày giao dịch liên tiếp liền trước ngày chốt danh sách cổ đông để lấy ý kiến hoặc họp Đại hội đồng cổ đông thông qua phương án phát hành.
+ Có đủ thặng dư vốn cổ phần căn cứ trên báo cáo tài chính năm gần nhất được kiểm toán đủ bù đắp phần thặng dư âm phát sinh do chào bán cổ phiếu dưới mệnh giá.
+ Có phương án phát hành được Hội đồng thành viên hoặc chủ sở hữu công ty thông qua; có phương án sử dụng vốn thu được từ đợt chào bán (trừ trường hợp chào bán theo hình thức quy định tại điểm b khoản 1 Điều 10 Nghị định 155/2020/NĐ-CP) được Hội đồng thành viên hoặc chủ sở hữu công ty thông qua.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chào bán thêm cổ phiếu</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2026-05-09T14:54:51Z</dcterms:created>
  <dc:creator>Apache POI</dc:creator>
</cp:coreProperties>
</file>