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thành lập quỹ thành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w:t>
      </w:r>
    </w:p>
    <w:p>
      <w:pPr>
        <w:spacing w:after="0" w:before="0" w:lineRule="auto" w:line="276"/>
        <w:jc w:val="both"/>
      </w:pPr>
      <w:r>
        <w:rPr>
          <w:rFonts w:ascii="Times New Roman" w:hAnsi="Times New Roman" w:cs="Times New Roman" w:eastAsia="Times New Roman"/>
          <w:b w:val="false"/>
          <w:sz w:val="26"/>
        </w:rPr>
        <w:t>Bước 1: Công ty quản lý quỹ đầu tư chứng khoán nộp hồ sơ đăng ký lập quỹ thành viên đến UBCKNN.
Bước 2: UBCKNN (Bộ phận một cửa) tiếp nhận và kiểm tra danh mục hồ sơ. Trường hợp danh mục chưa đầy đủ, UBCKNN hướng dẫn bổ sung hồ sơ theo quy định.
Bước 3: UBCKNN thẩm định tính đầy đủ, hợp lệ của nội dung hồ sơ. Trường hợp hồ sơ chưa đầy đủ, chưa hợp lệ, trong thời hạn 07 ngày, UBCKNN trả lời bằng văn bản và nêu rõ nội dung yêu cầu sửa đổi, bổ sung.
Bước 4: Trong thời hạn 60 ngày kể từ ngày UBCKNN có văn bản yêu cầu sửa đổi, bổ sung hồ sơ, công ty quản lý quỹ đầu tư chứng khoán hoàn thiện hồ sơ và gửi đến UBCKNN.
Bước 5: Trong thời hạn 15 ngày kể từ ngày nhận được hồ sơ đầy đủ và hợp lệ, UBCKNN cấp Giấy chứng nhận đăng ký lập quỹ; trường hợp từ chối, phải trả lời bằng văn bản và nêu rõ lý do. Vốn của quỹ chỉ được giải ngân sau khi UBCKNN cấp Giấy chứng nhận đăng ký lập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 Theo quy định tại Thông tư 25/2022/TT-BTC ngày 28/4/2022 + 20 triệu đồng/Giấy chứng nhận. * Theo quy định tại Thông tư 64/2025/TT-BTC ngày 30/6/2025  (kể từ ngày 01/7/2025 đến hết ngày 31/12/2026). + 10 triệu đồng/Giấy chứng nhận. Đồng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 Theo quy định tại Thông tư 25/2022/TT-BTC ngày 28/4/2022 + 20 triệu đồng/Giấy chứng nhận. * Theo quy định tại Thông tư 64/2025/TT-BTC ngày 30/6/2025  (kể từ ngày 01/7/2025 đến hết ngày 31/12/2026). + 10 triệu đồng/Giấy chứng nhận. Đồng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 Theo quy định tại Thông tư 25/2022/TT-BTC ngày 28/4/2022 + 20 triệu đồng/Giấy chứng nhận. * Theo quy định tại Thông tư 64/2025/TT-BTC ngày 30/6/2025  (kể từ ngày 01/7/2025 đến hết ngày 31/12/2026). + 10 triệu đồng/Giấy chứng nhận. Đồng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đăng ký lập quỹ đầu tư chứng khoán /thành lập công ty đầu tư chứng khoán - Mẫu số 92 Phụ lục ban hành kèm theo Nghị định 155/2020/NĐ-CP ngày 31/12/2020 của Chính phủ;</w:t>
            </w:r>
          </w:p>
        </w:tc>
        <w:tc>
          <w:p/>
          <w:p>
            <w:pPr>
              <w:spacing w:after="0" w:before="0" w:lineRule="auto" w:line="276"/>
              <w:jc w:val="left"/>
            </w:pPr>
            <w:r>
              <w:rPr>
                <w:rFonts w:ascii="Times New Roman" w:hAnsi="Times New Roman" w:cs="Times New Roman" w:eastAsia="Times New Roman"/>
                <w:b w:val="false"/>
                <w:sz w:val="26"/>
              </w:rPr>
              <w:t>Mauso92.Giaydangkylapquydautu.docx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mẫu đầu tư chứng khoán - Mẫu Phụ lục I ban hành kèm theo Thông tư 98/2020/TT-BTC ngày 16/11/2020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lưu ký tài sản với ngân hàng lưu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góp vốn của các thành viên góp vốn trong đó nêu rõ tên quỹ, công ty quản lý quỹ đầu tư chứng khoán, ngân hàng lưu ký, số vốn điều lệ dự kiến góp, kèm theo quyết định của cấp có thẩm quyền theo Điều lệ công ty của thành viên góp vốn là tổ chức về việc tham gia góp vốn vào quỹ;</w:t>
            </w:r>
          </w:p>
        </w:tc>
        <w:tc>
          <w:p/>
          <w:p>
            <w:pPr>
              <w:spacing w:after="0" w:before="0" w:lineRule="auto" w:line="276"/>
              <w:jc w:val="left"/>
            </w:pPr>
            <w:r>
              <w:rPr>
                <w:rFonts w:ascii="Times New Roman" w:hAnsi="Times New Roman" w:cs="Times New Roman" w:eastAsia="Times New Roman"/>
                <w:b w:val="false"/>
                <w:sz w:val="26"/>
              </w:rPr>
              <w:t>Mauso93.Nhadautuchungkhoan.docx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nhà đầu tư chứng khoán chuyên nghiệp tham gia góp vốn lập quỹ thành viên - Mẫu số 93 Phụ lục ban hành kèm theo Nghị định 155/2020/NĐ-CP ngày 31/12/2020 của Chính phủ; báo cáo thẩm định của công ty quản lý quỹ đầu tư chứng khoán hoặc của công ty chứng khoán được ủy quyền về việc xác định nhà đầu tư chứng khoán chuyên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xác nhận của ngân hàng lưu ký về quy mô vốn góp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Bản thông tin cá nhân của người điều hành quỹ - Mẫu số 91 Phụ lục ban hành kèm theo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Mauso91.Banthongtincanhan.docx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Danh sách thành viên Ban đại diện quỹ, Tổng giám đốc, người điều hành, nhân viên nghiệp vụ thẩm định giá bất động sản - Mẫu số 101 Phụ lục ban hành kèm theo Nghị định 155/2020/NĐ-CP ngày 31/12/2020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Văn phòng UBCKNN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lập quỹ thành viên, Công văn từ chối của Uỷ ban Chứng khoán Nhà nước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98/2020/TT-BTC</w:t>
            </w:r>
          </w:p>
        </w:tc>
        <w:tc>
          <w:p/>
          <w:p>
            <w:pPr>
              <w:spacing w:after="0" w:before="0" w:lineRule="auto" w:line="276"/>
              <w:jc w:val="left"/>
            </w:pPr>
            <w:r>
              <w:rPr>
                <w:rFonts w:ascii="Times New Roman" w:hAnsi="Times New Roman" w:cs="Times New Roman" w:eastAsia="Times New Roman"/>
                <w:b w:val="false"/>
                <w:sz w:val="26"/>
              </w:rPr>
              <w:t>Thông tư 98/2020/TT-BTC</w:t>
            </w:r>
          </w:p>
        </w:tc>
        <w:tc>
          <w:p/>
          <w:p>
            <w:pPr>
              <w:spacing w:after="0" w:before="0" w:lineRule="auto" w:line="276"/>
              <w:jc w:val="left"/>
            </w:pPr>
            <w:r>
              <w:rPr>
                <w:rFonts w:ascii="Times New Roman" w:hAnsi="Times New Roman" w:cs="Times New Roman" w:eastAsia="Times New Roman"/>
                <w:b w:val="false"/>
                <w:sz w:val="26"/>
              </w:rPr>
              <w:t>16-11-2020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Việc thành lập quỹ thành viên phải đáp ứng các điều kiện sau đây:
- Vốn góp tối thiểu là 50 tỷ đồng;
- Có từ 02 đến 99 thành viên góp vốn và chỉ bao gồm thành viên là nhà đầu tư chứng khoán chuyên nghiệp;
- Do 01 công ty quản lý quỹ đầu tư chứng khoán quản lý;
- Tài sản của quỹ thành viên được lưu ký tại 01 ngân hàng lưu ký độc lập với công ty quản lý quỹ đầu tư chứng khoán.
2) Công ty quản lý quỹ đầu tư chứng khoán có tối thiểu 02 người điều hành quỹ có chứng chỉ hành nghề quản lý quỹ; không bị đặt vào tình trạng cảnh báo, kiểm soát, kiểm soát đặc biệt, đình chỉ hoặc chưa thực hiện đầy đủ các hình thức xử phạt, biện pháp khắc phục hậu quả theo Quyết định xử phạt vi phạm hành chính trong lĩnh vực chứng khoán và thị trường chứng khoán.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2026-05-16T23:45:09Z</dcterms:created>
  <dc:creator>Apache POI</dc:creator>
</cp:coreProperties>
</file>