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hoạt động giáo dục kỹ năng sống và hoạt động giáo dục ngoài giờ chính khóa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đại diện cho đơn vị lập hồ sơ xin cấp phép gửi cho cơ quan có thẩm quyền cấp phép: sở giáo dục và đào tạo; giám đốc đại học, học viện, hiệu trưởng trường đại học, cao đẳng;</w:t>
      </w:r>
    </w:p>
    <w:p>
      <w:pPr>
        <w:spacing w:after="0" w:before="0" w:lineRule="auto" w:line="276"/>
        <w:jc w:val="both"/>
      </w:pPr>
      <w:r>
        <w:rPr>
          <w:rFonts w:ascii="Times New Roman" w:hAnsi="Times New Roman" w:cs="Times New Roman" w:eastAsia="Times New Roman"/>
          <w:b w:val="false"/>
          <w:sz w:val="26"/>
        </w:rPr>
        <w:t>Cơ quan có thẩm quyền cấp phép tiến hành thẩm định hồ sơ, kiểm tra các điều kiện hoạt động để quyết định cấp phép hoặc không cấp phép. Trường hợp không đồng ý cấp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cấp phép hoạt động giáo dục kỹ năng sống, hoạt động giáo dục ngoài giờ chính khóa. Nội dung tờ trình nêu rõ: mục tiêu, nhiệm vụ, chương trình và nội dung đào tạo bồi dưỡng; đất đai, cơ sở vật chất, thiết bị, địa điểm, tổ chức bộ máy, tài chính và các nguồn lực khác; cam kết bảo đảm an ninh, trật tự, vệ sinh môi trường, thực hiện nghiêm túc quy định của các cấp quản lý nơi tổ chức hoạt động giáo dục kỹ năng sống và hoạt động giáo dục ngoài giờ chính khóa;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lý lịch trích ngang kèm theo các minh chứng hợp lệ về đội ngũ giáo viên, huấn luyện viên, báo cáo viên (ghi rõ họ tên, trình độ học vấn, chức vụ, nghề nghiệp, năng lực sư phạm và am hiểu các lĩnh vực kỹ năng sống hoặc hoạt động giáo dục có liên quan) tham gia tổ chức và thực hiện các hoạt động giáo dục kỹ năng sống và hoạt động giáo dục ngoài giờ chính khóa;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hoạt động, giáo trình, tài liệu giảng dạy,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 Giám đốc đại học, học viện, hiệu trưởng trường đại học, trường cao đẳng sư phạm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Cho phép tổ chức hoạt động ngoại khoá chương trình giáo dục kỹ năng sống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04/2014/TT-BGDĐT</w:t>
            </w:r>
          </w:p>
        </w:tc>
        <w:tc>
          <w:p/>
          <w:p>
            <w:pPr>
              <w:spacing w:after="0" w:before="0" w:lineRule="auto" w:line="276"/>
              <w:jc w:val="left"/>
            </w:pPr>
            <w:r>
              <w:rPr>
                <w:rFonts w:ascii="Times New Roman" w:hAnsi="Times New Roman" w:cs="Times New Roman" w:eastAsia="Times New Roman"/>
                <w:b w:val="false"/>
                <w:sz w:val="26"/>
              </w:rPr>
              <w:t>Ban hành Quy định Quản lý hoạt động giáo dục kỹ năng sống và hoạt động giáo dục ngoài giờ chính khóa</w:t>
            </w:r>
          </w:p>
        </w:tc>
        <w:tc>
          <w:p/>
          <w:p>
            <w:pPr>
              <w:spacing w:after="0" w:before="0" w:lineRule="auto" w:line="276"/>
              <w:jc w:val="left"/>
            </w:pPr>
            <w:r>
              <w:rPr>
                <w:rFonts w:ascii="Times New Roman" w:hAnsi="Times New Roman" w:cs="Times New Roman" w:eastAsia="Times New Roman"/>
                <w:b w:val="false"/>
                <w:sz w:val="26"/>
              </w:rPr>
              <w:t>28-02-2014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Cơ sở vật chất:
- Có phòng học, phòng chức năng có đủ ánh sáng, đảm bảo các yêu cầu về vệ sinh trường học theo quy định.
- Thiết bị dạy học phải bảo đảm an toàn, phù hợp với nội dung dạy học, hoạt động và tâm lý lứa tuổi người học.
b. Giáo viên, báo cáo viên, huấn luyện viên:
- Có đủ điều kiện về sức khoẻ.
- Có phẩm chất đạo đức tốt; không trong thời gian bị kỷ luật từ cảnh cáo trở lên, không bị truy cứu trách nhiệm hình sự.
- Có chứng chỉ nghiệp vụ sư phạm; am hiểu các lĩnh vực kỹ năng sống hoặc hoạt động giáo dục có liên quan.
c.  Giáo trình, tài liệu
Có đủ giáo trình, tài liệu do Bộ Giáo dục và Đào tạo ban hành hoặc phê duyệt. Nếu giáo trình, tài liệu tự lựa chọn hoặc tự xây dựng thì phải được cơ quan có thẩm quyền cấp phép hoạt động hoặc cơ quan xác nhận đăng ký hoạt động theo quy định tại Điều 7, Điều 8 của Quy định này chấp thuận; đảm bảo yêu cầu, có nội dung phù hợp với thuần phong mỹ tục Việt Nam, không trái với các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2026-05-23T16:28:35Z</dcterms:created>
  <dc:creator>Apache POI</dc:creator>
</cp:coreProperties>
</file>