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 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phòng khám bác sỹ gia đình thuộc phòng khám đa khoa tư nhân hoặc khoa khám bệnh của bệnh viện đa khoa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bổ sung phạm vi giấy phép hoạt động (GPHĐ) về Sở Y tế</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cho Cơ sở khám bệnh, chữa bệnh đề nghị</w:t>
      </w:r>
    </w:p>
    <w:p>
      <w:pPr>
        <w:shd w:val="clear" w:color="auto" w:fill="F2F6F9"/>
        <w:spacing w:after="0" w:before="120" w:lineRule="auto" w:line="276"/>
        <w:jc w:val="both"/>
      </w:pPr>
      <w:r>
        <w:rPr>
          <w:rFonts w:ascii="Times New Roman" w:hAnsi="Times New Roman" w:cs="Times New Roman" w:eastAsia="Times New Roman"/>
          <w:b w:val="true"/>
          <w:sz w:val="26"/>
        </w:rPr>
        <w:t>Bước 3</w:t>
      </w:r>
    </w:p>
    <w:p>
      <w:pPr>
        <w:spacing w:after="0" w:before="0" w:lineRule="auto" w:line="276"/>
        <w:jc w:val="both"/>
      </w:pPr>
      <w:r>
        <w:rPr>
          <w:rFonts w:ascii="Times New Roman" w:hAnsi="Times New Roman" w:cs="Times New Roman" w:eastAsia="Times New Roman"/>
          <w:b w:val="false"/>
          <w:sz w:val="26"/>
        </w:rPr>
        <w:t>Bước 3: Trong thời hạn 90 ngày kể từ ngày nhận đủ hồ sơ, Sở Y tế sẽ xem xét thẩm định hồ sơ và thẩm định tại cơ sở xin cấp GPHĐ:</w:t>
      </w:r>
    </w:p>
    <w:p>
      <w:pPr>
        <w:spacing w:after="0" w:before="0" w:lineRule="auto" w:line="276"/>
        <w:jc w:val="both"/>
      </w:pPr>
      <w:r>
        <w:rPr>
          <w:rFonts w:ascii="Times New Roman" w:hAnsi="Times New Roman" w:cs="Times New Roman" w:eastAsia="Times New Roman"/>
          <w:b w:val="false"/>
          <w:sz w:val="26"/>
        </w:rPr>
        <w:t>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Trường hợp không cấp GPHĐ, Sở Y tế phải có văn bản trả lời và nêu lý do.</w:t>
      </w:r>
    </w:p>
    <w:p>
      <w:pPr>
        <w:shd w:val="clear" w:color="auto" w:fill="F2F6F9"/>
        <w:spacing w:after="0" w:before="120" w:lineRule="auto" w:line="276"/>
        <w:jc w:val="both"/>
      </w:pPr>
      <w:r>
        <w:rPr>
          <w:rFonts w:ascii="Times New Roman" w:hAnsi="Times New Roman" w:cs="Times New Roman" w:eastAsia="Times New Roman"/>
          <w:b w:val="true"/>
          <w:sz w:val="26"/>
        </w:rPr>
        <w:t>Bước 4</w:t>
      </w:r>
    </w:p>
    <w:p>
      <w:pPr>
        <w:spacing w:after="0" w:before="0" w:lineRule="auto" w:line="276"/>
        <w:jc w:val="both"/>
      </w:pPr>
      <w:r>
        <w:rPr>
          <w:rFonts w:ascii="Times New Roman" w:hAnsi="Times New Roman" w:cs="Times New Roman" w:eastAsia="Times New Roman"/>
          <w:b w:val="false"/>
          <w:sz w:val="26"/>
        </w:rPr>
        <w:t>Bước 4: Trả GPHĐ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t>Lệ phí : 4.300.000 Đồng</w:t>
              <w:t xml:space="preserve"> (Phí thẩm định bổ sung phạm vi hoạt động chuyên môn)</w:t>
              <w:br/>
              <w:t>File đính kèm: VanBanGoc_278-2016-TT-BTC.pdf</w:t>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t>Lệ phí : 4.300.000 Đồng</w:t>
              <w:t xml:space="preserve"> (Phí thẩm định bổ sung phạm vi hoạt động chuyên môn)</w:t>
              <w:br/>
              <w:t>File đính kèm: VanBanGoc_278-2016-TT-BTC.pdf</w:t>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quy định tại Phụ lục 13 kèm theo Thông tư 41/2011/TT-BYT</w:t>
            </w:r>
          </w:p>
        </w:tc>
        <w:tc>
          <w:p/>
          <w:p>
            <w:pPr>
              <w:spacing w:after="0" w:before="0" w:lineRule="auto" w:line="276"/>
              <w:jc w:val="left"/>
            </w:pPr>
            <w:r>
              <w:rPr>
                <w:rFonts w:ascii="Times New Roman" w:hAnsi="Times New Roman" w:cs="Times New Roman" w:eastAsia="Times New Roman"/>
                <w:b w:val="false"/>
                <w:sz w:val="26"/>
              </w:rPr>
              <w:t>phụ lục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của tất cả người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người đăng ký hành nghề của cơ sở khám bệnh, chữa bệnh theo mẫu quy định tại Phụ lục 6- Thông tư 41/2011/TT-BYT</w:t>
            </w:r>
          </w:p>
        </w:tc>
        <w:tc>
          <w:p/>
          <w:p>
            <w:pPr>
              <w:spacing w:after="0" w:before="0" w:lineRule="auto" w:line="276"/>
              <w:jc w:val="left"/>
            </w:pPr>
            <w:r>
              <w:rPr>
                <w:rFonts w:ascii="Times New Roman" w:hAnsi="Times New Roman" w:cs="Times New Roman" w:eastAsia="Times New Roman"/>
                <w:b w:val="false"/>
                <w:sz w:val="26"/>
              </w:rPr>
              <w:t>TT41_2011_TTBYT_Phu luc 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theo quy định tại Điều 14 Thông tư 16/2014/TT-BYT.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phòng khám đa khoa tư nhân hoặc bệnh viện đa khoa đã được cấp giấy phép hoạt động có bổ sung phòng khám bác sĩ gia đình thì phải có quyết định thành lập phòng khám của cấp có thẩm quyền và có văn bản đề nghị cơ quan Nhà nước có thẩm quyền đã cấp giấy phép hoạt động thẩm định và bổ sung phạm vi hoạt động chuyên môn trong giấy phép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đối với cơ sở khám bệnh, chữa bệnh của nhà nước hoặc giấy chứng nhận đăng ký kinh doanh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của cơ sở khám bệnh, chữa bệnh theo mẫu quy định tại Phụ lục 14 - Thông tư 41/2011/TT-BYT</w:t>
            </w:r>
          </w:p>
        </w:tc>
        <w:tc>
          <w:p/>
          <w:p>
            <w:pPr>
              <w:spacing w:after="0" w:before="0" w:lineRule="auto" w:line="276"/>
              <w:jc w:val="left"/>
            </w:pPr>
            <w:r>
              <w:rPr>
                <w:rFonts w:ascii="Times New Roman" w:hAnsi="Times New Roman" w:cs="Times New Roman" w:eastAsia="Times New Roman"/>
                <w:b w:val="false"/>
                <w:sz w:val="26"/>
              </w:rPr>
              <w:t>TT41_2011_TTBYT_Phu luc 14 (1).doc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nhân sự của người làm việc chuyên môn y tế tại cơ sở nhưng không thuộc diện phải cấp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kiến phạm vi hoạt động chuyên môn: Cơ sở khám bệnh, chữa bệnh đề xuất phạm vi hoạt động chuyên môn, danh mục kỹ thuật dự kiến thực hiện trên cơ sở danh mục kỹ thuật chuyên môn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phòng khám bác sỹ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16/2014/TT-BYT</w:t>
            </w:r>
          </w:p>
        </w:tc>
        <w:tc>
          <w:p/>
          <w:p>
            <w:pPr>
              <w:spacing w:after="0" w:before="0" w:lineRule="auto" w:line="276"/>
              <w:jc w:val="left"/>
            </w:pPr>
            <w:r>
              <w:rPr>
                <w:rFonts w:ascii="Times New Roman" w:hAnsi="Times New Roman" w:cs="Times New Roman" w:eastAsia="Times New Roman"/>
                <w:b w:val="false"/>
                <w:sz w:val="26"/>
              </w:rPr>
              <w:t>Thông tư 16/2014/TT-BYT-Hướng dẫn thí điểm về bác sĩ gia đình và phòng khám bác sĩ gia đình</w:t>
            </w:r>
          </w:p>
        </w:tc>
        <w:tc>
          <w:p/>
          <w:p>
            <w:pPr>
              <w:spacing w:after="0" w:before="0" w:lineRule="auto" w:line="276"/>
              <w:jc w:val="left"/>
            </w:pPr>
            <w:r>
              <w:rPr>
                <w:rFonts w:ascii="Times New Roman" w:hAnsi="Times New Roman" w:cs="Times New Roman" w:eastAsia="Times New Roman"/>
                <w:b w:val="false"/>
                <w:sz w:val="26"/>
              </w:rPr>
              <w:t>22-05-2014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a) Xây dựng và thiết kế:
- Địa điểm cố định, tách biệt với các khoa phòng khác;
- Xây dựng chắc chắn, đủ ánh sáng, có trần chống bụi, tường và nền nhà phải sử dụng các chất liệu dễ tẩy rửa, làm vệ sinh;
b) Phải có nơi đón tiếp người bệnh; có buồng khám bệnh, tư vấn sức khỏe diện tích ít nhất là 10 m2.
c) Ngoài điều kiện quy định tại Điểm a, Điểm b Khoản này, tùy theo phạm vi hoạt động chuyên môn đăng ký, phòng khám còn phải đáp ứng thêm các điều kiện theo quy định của pháp luật về khám bệnh, chữa bệnh phù hợp với hình thức tổ chức và phạm vi hoạt động chuyên môn đã đăng ký.
d) Bảo đảm xử lý chất thải y tế, kiểm soát nhiễm khuẩn theo quy định của pháp luật;
đ) Có thiết bị để ứng dụng công nghệ thông tin trong quản lý sức khỏe và khám bệnh, chữa bệnh.
e) Bảo đảm có đủ điện, nước, khu vệ sinh và các điều kiện khác để phục vụ chăm sóc người bệnh.
2. Thuốc và trang thiết bị y tế
Có đủ trang thiết bị, dụng cụ y tế, thuốc phù hợp với phạm vi hoạt động chuyên môn mà phòng khám đăng ký, trong đó ít nhất phải có hộp thuốc chống choáng và đủ thuốc cấp cứu chuyên khoa.
3. Nhân sự
a) Người chịu trách nhiệm chuyên môn của phòng khám phải đáp ứng các điều kiện sau:
- Đối với phòng khám bác sỹ gia đình đề nghị cấp giấy phép hoạt động trước ngày 01 tháng 01 năm 2018, thì người chịu trách nhiệm chuyên môn của phòng khám phải là bác sỹ có chứang chỉ hành nghề chuyên ngành y học gia đình và có thời gian thực hành khám bệnh, chữa bệnh ít nhất là 36 tháng;
- Đối với phòng khám bác sỹ gia đình đề nghị cấp giấy phép hoạt động từ ngày 01 tháng 01 năm 2018, thì người chịu trách nhiệm chuyên môn của phòng khám phải là bác sỹ có chứng chỉ hành nghề chuyên ngành y học gia đình, có thời gian thực hành khám bệnh, chữa bệnh ít nhất là 36 tháng, trong đó có đủ 24 tháng khám bệnh, chữa bệnh chuyên ngành y học gia đình.
b) Người trực tiếp khám bệnh, chữa bệnh và quản lý sức khỏe phải có chứng chỉ hành nghề bác sỹ gia đình;
c) Người làm việc chuyên môn của phòng khám phải có chứng chỉ hành nghề phù hợp với phạm vi chuyên môn hành nghề;
d) Ngoài các điều kiện quy định tại khoản này người hành nghề còn phải có giấy chứng nhận hoặc giấy xác nhận đã qua đào tạo, bồi dưỡng chuyên môn nghiệp vụ theo yêu cầu kỹ thuật chuyên môn.
4. Phạm vi hoạt động chuyên môn
Phòng khám bác sỹ gia đình được thực hiện các hoạt động chuyên môn sau đây:
a) Khám bệnh, chữa bệnh:
- Sơ cứu, cấp cứu;
- Khám bệnh, chữa bệnh theo danh mục kỹ thuật đã được cơ quan nhà nước có thẩm quyền phê duyệt;
- Quản lý sức khỏe toàn diện cho cá nhân, hộ gia đình và cộng đồng;
- Thực hiện việc chăm sóc sức khỏe, sàng lọc phát hiện sớm bệnh tật;
- Tham gia chuyển tuyến khám bệnh, chữa bệnh;
- Tham gia các dịch vụ chăm sóc giảm nhẹ, chăm sóc cuối đời;
- Thực hiện các kỹ thuật chuyên môn khác do cơ quan nhà nước có thẩm quyền phê duyệt trên cơ sở điều kiện thực tế của phòng khám;
- Được thực hiện các hoạt động sau tại gia đình người bệnh, bao gồm: khám bệnh, kê đơn thuốc một số bệnh thông thường; thực hiện một số thủ thuật: thay băng, cắt chỉ, lấy mẫu máu, mẫu nước tiểu để xét nghiệm, khí dung; được tiêm, truyền dịch trong trường hợp cấp cứu.
b) Phục hồi chức năng:
- Tổ chức các hoạt động phục hồi chức năng dựa vào cộng đồng cho các đối tượng có nhu cầu;
- Thực hiện các kỹ thuật phục hồi chức năng, vật lý trị liệu, luyện tập sức khỏe và dưỡng sinh cho người bệnh và cộng đồng.
c) Y học cổ truyền:
- Khám bệnh, chữa bệnh bằng y học cổ truyền (dùng thuốc và không dùng thuốc);
- Được sử dụng các thành phẩm thuốc y học cổ truyền do các cơ sở khác sản xuất đã được Bộ Y tế cấp đăng ký lưu hành để phục vụ cho việc khám bệnh, chữa bệnh;
- Bào chế thuốc sống thành thuốc chín (thuốc phiến), cân thuốc thang cho người bệnh;
d) Phòng bệnh, chăm sóc sức khỏe ban đầu:
- Tham gia giám sát, phát hiện sớm dịch bệnh trong cộng đồng dân cư;
- Tham gia các chương trình tiêm chủng, các chương trình quốc gia về y tế;
- Hướng dẫn vệ sinh môi trường, an toàn vệ sinh thực phẩm, phòng chống bệnh truyền nhiễm và bệnh không lây nhiễm;
- Tham gia quản lý bệnh nghề nghiệp, chăm sóc sức khỏe bà mẹ, trẻ em, người cao tuổi, khám sức khỏe định kỳ giúp phát hiện sớm bệnh tật; có hồ sơ theo dõi sức khỏe toàn diện liên tục cho cá nhân và gia đình theo quy định của Bộ Y tế.
đ) Tư vấn sức khỏe:
- Tư vấn về khám bệnh, chữa bệnh, phòng bệnh, bảo vệ chăm sóc và nâng cao sức khỏe cho người dân và cộng đồng;
- Tham gia truyền thông, giáo dục sức khỏe để góp phần nâng cao nhận thức của người dân về phòng bệnh tích cực và chủ động, phòng ngừa các yếu tố nguy cơ ảnh hưởng đến sức khỏe.
e) Nghiên cứu khoa học và đào tạo
- Nghiên cứu khoa học về y học gia đình và các vấn đề liên quan;
- Tham gia công tác đào tạo chuyên ngành y học gia đình;
- Tham gia các chương trình đào tạo liên tục của chuyên ngành y học gia đình để không ngừng nâng cao trình độ chuyên môn.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2026-05-18T18:20:09Z</dcterms:created>
  <dc:creator>Apache POI</dc:creator>
</cp:coreProperties>
</file>