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luồng đường thủy nội địa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false"/>
          <w:sz w:val="26"/>
        </w:rPr>
        <w:t>Tổ chức, cá nhân có luồng chuyên dùng gửi đơn đề nghị công bố thông báo luồng đến cơ quan có thẩm quyền sau:
- Chi cục đường thủy nội địa khu vực: thông báo định kỳ, thường xuyên, và đột xuất luồng chuyên dùng nối với luồng quốc gia;
- Sở Xây dựng: thông báo lần đầu, định kỳ, thường xuyên và đột xuất luồng chuyên dùng nối với luồng địa phương.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gian 03 ngày làm việc, kể từ ngày nhận được báo cáo của tổ chức, cá nhân có luồng chuyên dùng, cơ quan có trách nhiệm thông báo kiểm tra số liệu, thông báo luồng đường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báo cáo của tổ chức, cá nhân có luồng chuyên dùng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báo cáo của tổ chức, cá nhân có luồng chuyên dùng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thông báo luồng theo mẫu</w:t>
            </w:r>
          </w:p>
        </w:tc>
        <w:tc>
          <w:p/>
          <w:p>
            <w:pPr>
              <w:spacing w:after="0" w:before="0" w:lineRule="auto" w:line="276"/>
              <w:jc w:val="left"/>
            </w:pPr>
            <w:r>
              <w:rPr>
                <w:rFonts w:ascii="Times New Roman" w:hAnsi="Times New Roman" w:cs="Times New Roman" w:eastAsia="Times New Roman"/>
                <w:b w:val="false"/>
                <w:sz w:val="26"/>
              </w:rPr>
              <w:t>29.docx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luồng đường thủy nội địa (lần đầu), Thông báo luồng đường thủy nội địa (định kỳ), Thông báo luồng đường thủy nội địa (thường xuyên hoặc đột xuất)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2026-05-22T12:28:37Z</dcterms:created>
  <dc:creator>Apache POI</dc:creator>
</cp:coreProperties>
</file>