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1.009604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3506/QĐ-UBND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Cung cấp thông tin về quy hoạch xây dựng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B1	Tiếp nhận hồ sơ:
- Nếu hồ sơ đầy đủ, hợp lệ làm thủ tục tiếp nhận hồ sơ và hẹn ngày trả kết quả.
- Nếu hồ sơ chưa đầy đủ, hợp lệ thì hướng dẫn đầy đủ một lần để tổ chức, cá nhân hoàn thiện hồ sơ.</w:t>
      </w:r>
    </w:p>
    <w:p>
      <w:pPr>
        <w:spacing w:after="0" w:before="0" w:lineRule="auto" w:line="276"/>
        <w:jc w:val="both"/>
      </w:pPr>
      <w:r>
        <w:rPr>
          <w:rFonts w:ascii="Times New Roman" w:hAnsi="Times New Roman" w:cs="Times New Roman" w:eastAsia="Times New Roman"/>
          <w:b w:val="false"/>
          <w:sz w:val="26"/>
        </w:rPr>
        <w:t>B2	Chuyển hồ sơ cho cơ quan/phòng chuyên môn xử lý</w:t>
      </w:r>
    </w:p>
    <w:p>
      <w:pPr>
        <w:spacing w:after="0" w:before="0" w:lineRule="auto" w:line="276"/>
        <w:jc w:val="both"/>
      </w:pPr>
      <w:r>
        <w:rPr>
          <w:rFonts w:ascii="Times New Roman" w:hAnsi="Times New Roman" w:cs="Times New Roman" w:eastAsia="Times New Roman"/>
          <w:b w:val="false"/>
          <w:sz w:val="26"/>
        </w:rPr>
        <w:t>B3	Duyệt hồ sơ, chuyển cho chuyên viên xử lý công việc hoặc Lãnh đạo phòng xử lý công việc.</w:t>
      </w:r>
    </w:p>
    <w:p>
      <w:pPr>
        <w:spacing w:after="0" w:before="0" w:lineRule="auto" w:line="276"/>
        <w:jc w:val="both"/>
      </w:pPr>
      <w:r>
        <w:rPr>
          <w:rFonts w:ascii="Times New Roman" w:hAnsi="Times New Roman" w:cs="Times New Roman" w:eastAsia="Times New Roman"/>
          <w:b w:val="false"/>
          <w:sz w:val="26"/>
        </w:rPr>
        <w:t>B4	Thẩm định hồ sơ:
- Trường hợp hồ sơ không đáp ứng yêu cầu, thông báo bằng văn bản cho tổ chức, cá nhân và nêu rõ lý do.
- Trường hợp hồ sơ cần giải trình và bổ sung thêm, thông báo bằng văn bản cho tổ chức, cá nhân:
+ Nếu không bổ sung được thì dự thảo văn bản thông báo hồ sơ không đủ điều kiện được cung cấp thông tin quy hoạch trình lãnh đạo phòng ký nháy. 
+ Nếu bổ sung đầy đủ, thì dự thảo văn bản cung cấp thông tin quy hoạch  trình lãnh đạo phòng ký nháy.
      - Trường hợp, hồ sơ đáp ứng yêu cầu, dự thảo tờ trình và Văn bản cung cấp thông tin về địa điểm xây dựng, chỉ giới xây dựng, chỉ giới đường đỏ, cốt xây dựng và thông tin khác liên quan đến quy hoạch trình lãnh đạo phòng ký nháy.</w:t>
      </w:r>
    </w:p>
    <w:p>
      <w:pPr>
        <w:spacing w:after="0" w:before="0" w:lineRule="auto" w:line="276"/>
        <w:jc w:val="both"/>
      </w:pPr>
      <w:r>
        <w:rPr>
          <w:rFonts w:ascii="Times New Roman" w:hAnsi="Times New Roman" w:cs="Times New Roman" w:eastAsia="Times New Roman"/>
          <w:b w:val="false"/>
          <w:sz w:val="26"/>
        </w:rPr>
        <w:t>B5	Trình xem xét kết quả giải quyết TTHC:
- Nếu đồng ý: Ký nháy trên văn bản để trình Lãnh đạo Sở phê duyệt.
       - Nếu không đồng ý: Nêu rõ lý do và chuyển cho cán bộ thụ lý. Chuyển lại thực hiện ở bước 4.</w:t>
      </w:r>
    </w:p>
    <w:p>
      <w:pPr>
        <w:spacing w:after="0" w:before="0" w:lineRule="auto" w:line="276"/>
        <w:jc w:val="both"/>
      </w:pPr>
      <w:r>
        <w:rPr>
          <w:rFonts w:ascii="Times New Roman" w:hAnsi="Times New Roman" w:cs="Times New Roman" w:eastAsia="Times New Roman"/>
          <w:b w:val="false"/>
          <w:sz w:val="26"/>
        </w:rPr>
        <w:t>B6	Phê duyệt kết quả giải quyết TTHC:
- Nếu đồng ý: Ký vào văn bản. 
      - Nếu không đồng ý: Nêu rõ lý do và chuyển lại phòng chuyên môn xử lý.</w:t>
      </w:r>
    </w:p>
    <w:p>
      <w:pPr>
        <w:spacing w:after="0" w:before="0" w:lineRule="auto" w:line="276"/>
        <w:jc w:val="both"/>
      </w:pPr>
      <w:r>
        <w:rPr>
          <w:rFonts w:ascii="Times New Roman" w:hAnsi="Times New Roman" w:cs="Times New Roman" w:eastAsia="Times New Roman"/>
          <w:b w:val="false"/>
          <w:sz w:val="26"/>
        </w:rPr>
        <w:t>B7	Phát hành văn bản và trình UBND tỉnh xem xét ban hành.
Nộp hồ sơ tại Bộ phận tiếp nhận của Văn phòng  Đoàn ĐBQH, HĐND và UBND tỉnh, bao gồm: Hồ sơ theo mục 2.3; Tờ trình của Sở XD và dự thảo Văn bản cung cấp thông tin</w:t>
      </w:r>
    </w:p>
    <w:p>
      <w:pPr>
        <w:spacing w:after="0" w:before="0" w:lineRule="auto" w:line="276"/>
        <w:jc w:val="both"/>
      </w:pPr>
      <w:r>
        <w:rPr>
          <w:rFonts w:ascii="Times New Roman" w:hAnsi="Times New Roman" w:cs="Times New Roman" w:eastAsia="Times New Roman"/>
          <w:b w:val="false"/>
          <w:sz w:val="26"/>
        </w:rPr>
        <w:t>B8	Tiếp nhận và Chuyển hồ sơ cho phòng chuyên môn xử lý</w:t>
      </w:r>
    </w:p>
    <w:p>
      <w:pPr>
        <w:spacing w:after="0" w:before="0" w:lineRule="auto" w:line="276"/>
        <w:jc w:val="both"/>
      </w:pPr>
      <w:r>
        <w:rPr>
          <w:rFonts w:ascii="Times New Roman" w:hAnsi="Times New Roman" w:cs="Times New Roman" w:eastAsia="Times New Roman"/>
          <w:b w:val="false"/>
          <w:sz w:val="26"/>
        </w:rPr>
        <w:t>B9	Xem xét và xử lý hồ sơ</w:t>
      </w:r>
    </w:p>
    <w:p>
      <w:pPr>
        <w:spacing w:after="0" w:before="0" w:lineRule="auto" w:line="276"/>
        <w:jc w:val="both"/>
      </w:pPr>
      <w:r>
        <w:rPr>
          <w:rFonts w:ascii="Times New Roman" w:hAnsi="Times New Roman" w:cs="Times New Roman" w:eastAsia="Times New Roman"/>
          <w:b w:val="false"/>
          <w:sz w:val="26"/>
        </w:rPr>
        <w:t>B10	Phát hành văn bản và trả kết quả cho Trung tâm PVHCC tỉnh (Công chức TN&amp;TKQ Sở Xây dựng)</w:t>
      </w:r>
    </w:p>
    <w:p>
      <w:pPr>
        <w:spacing w:after="0" w:before="0" w:lineRule="auto" w:line="276"/>
        <w:jc w:val="both"/>
      </w:pPr>
      <w:r>
        <w:rPr>
          <w:rFonts w:ascii="Times New Roman" w:hAnsi="Times New Roman" w:cs="Times New Roman" w:eastAsia="Times New Roman"/>
          <w:b w:val="false"/>
          <w:sz w:val="26"/>
        </w:rPr>
        <w:t>B11	Trả kết quả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đề nghị cung cấp thông tin quy hoạch (ghi rõ thông tin về vị trí, địa điểm lô đất cần cung cấp thông tin về quy hoạch) theo mẫu BM.QH.05.01</w:t>
            </w:r>
          </w:p>
        </w:tc>
        <w:tc>
          <w:p/>
          <w:p>
            <w:pPr>
              <w:spacing w:after="0" w:before="0" w:lineRule="auto" w:line="276"/>
              <w:jc w:val="left"/>
            </w:pPr>
            <w:r>
              <w:rPr>
                <w:rFonts w:ascii="Times New Roman" w:hAnsi="Times New Roman" w:cs="Times New Roman" w:eastAsia="Times New Roman"/>
                <w:b w:val="false"/>
                <w:sz w:val="26"/>
              </w:rPr>
              <w:t>BM.QH.05.01.docx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Hà Tĩnh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Hà Tĩnh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Hà Tĩnh (Số 02A, đường Nguyễn Chí Thanh, thành phố Hà Tĩnh, tỉnh Hà Tĩnh).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cung cấp thông tin về địa điểm xây dựng, chỉ giới xây dựng, chỉ giới đường đỏ, cốt xây dựng và thông tin khác liên quan đến quy hoạch.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30/2009/QH12</w:t>
            </w:r>
          </w:p>
        </w:tc>
        <w:tc>
          <w:p/>
          <w:p>
            <w:pPr>
              <w:spacing w:after="0" w:before="0" w:lineRule="auto" w:line="276"/>
              <w:jc w:val="left"/>
            </w:pPr>
            <w:r>
              <w:rPr>
                <w:rFonts w:ascii="Times New Roman" w:hAnsi="Times New Roman" w:cs="Times New Roman" w:eastAsia="Times New Roman"/>
                <w:b w:val="false"/>
                <w:sz w:val="26"/>
              </w:rPr>
              <w:t>Luật 30/2009/QH12</w:t>
            </w:r>
          </w:p>
        </w:tc>
        <w:tc>
          <w:p/>
          <w:p>
            <w:pPr>
              <w:spacing w:after="0" w:before="0" w:lineRule="auto" w:line="276"/>
              <w:jc w:val="left"/>
            </w:pPr>
            <w:r>
              <w:rPr>
                <w:rFonts w:ascii="Times New Roman" w:hAnsi="Times New Roman" w:cs="Times New Roman" w:eastAsia="Times New Roman"/>
                <w:b w:val="false"/>
                <w:sz w:val="26"/>
              </w:rPr>
              <w:t>17-06-2009</w:t>
            </w:r>
          </w:p>
        </w:tc>
        <w:tc>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35/2018/QH14</w:t>
            </w:r>
          </w:p>
        </w:tc>
        <w:tc>
          <w:p/>
          <w:p>
            <w:pPr>
              <w:spacing w:after="0" w:before="0" w:lineRule="auto" w:line="276"/>
              <w:jc w:val="left"/>
            </w:pPr>
            <w:r>
              <w:rPr>
                <w:rFonts w:ascii="Times New Roman" w:hAnsi="Times New Roman" w:cs="Times New Roman" w:eastAsia="Times New Roman"/>
                <w:b w:val="false"/>
                <w:sz w:val="26"/>
              </w:rPr>
              <w:t>Luật 35/2018/QH14</w:t>
            </w:r>
          </w:p>
        </w:tc>
        <w:tc>
          <w:p/>
          <w:p>
            <w:pPr>
              <w:spacing w:after="0" w:before="0" w:lineRule="auto" w:line="276"/>
              <w:jc w:val="left"/>
            </w:pPr>
            <w:r>
              <w:rPr>
                <w:rFonts w:ascii="Times New Roman" w:hAnsi="Times New Roman" w:cs="Times New Roman" w:eastAsia="Times New Roman"/>
                <w:b w:val="false"/>
                <w:sz w:val="26"/>
              </w:rPr>
              <w:t>20-11-2018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2026-05-23T16:38:49Z</dcterms:created>
  <dc:creator>Apache POI</dc:creator>
</cp:coreProperties>
</file>