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1.009634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3154/QĐ-BTC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điều chỉnh dự án đầu tư trong trường hợp sử dụng quyền sử dụng đất, tài sản gắn liền với đất thuộc dự án đầu tư để hợp tác kinh doanh đối với dự án đầu tư thuộc thẩm quyền chấp thuận chủ trương đầu tư của Thủ tướng Chính phủ</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Đầu tư tại Việt nam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Nhà đầu tư nộp hồ sơ theo quy định tại khoản 3 Điều 53 Nghị định số 31/2021/NĐ-CP cho Bộ Kế hoạch và Đầu tư.</w:t>
      </w:r>
    </w:p>
    <w:p>
      <w:pPr>
        <w:spacing w:after="0" w:before="0" w:lineRule="auto" w:line="276"/>
        <w:jc w:val="both"/>
      </w:pPr>
      <w:r>
        <w:rPr>
          <w:rFonts w:ascii="Times New Roman" w:hAnsi="Times New Roman" w:cs="Times New Roman" w:eastAsia="Times New Roman"/>
          <w:b w:val="false"/>
          <w:sz w:val="26"/>
        </w:rPr>
        <w:t>- Bước 2: Bộ Kế hoạch và Đầu tư gửi hồ sơ cho cơ quan nhà nước có thẩm quyền theo quy định tại khoản 3 Điều 32 của Nghị định số 31/2021/NĐ-CP để lấy ý kiến về điều kiện hợp tác kinh doanh quy định tại kohanr 2 Điều 53 Nghị định số 31/2021/NĐ-CP;</w:t>
      </w:r>
    </w:p>
    <w:p>
      <w:pPr>
        <w:spacing w:after="0" w:before="0" w:lineRule="auto" w:line="276"/>
        <w:jc w:val="both"/>
      </w:pPr>
      <w:r>
        <w:rPr>
          <w:rFonts w:ascii="Times New Roman" w:hAnsi="Times New Roman" w:cs="Times New Roman" w:eastAsia="Times New Roman"/>
          <w:b w:val="false"/>
          <w:sz w:val="26"/>
        </w:rPr>
        <w:t>- Bước 3: Các cơ quan được lấy ý kiến có ý kiến về nội dung điều chỉnh dự án thuộc phạm vi quản lý nhà nước của cơ quan đó;</w:t>
      </w:r>
    </w:p>
    <w:p>
      <w:pPr>
        <w:spacing w:after="0" w:before="0" w:lineRule="auto" w:line="276"/>
        <w:jc w:val="both"/>
      </w:pPr>
      <w:r>
        <w:rPr>
          <w:rFonts w:ascii="Times New Roman" w:hAnsi="Times New Roman" w:cs="Times New Roman" w:eastAsia="Times New Roman"/>
          <w:b w:val="false"/>
          <w:sz w:val="26"/>
        </w:rPr>
        <w:t>- Bước 4: Bộ Kế hoạch và Đầu tư lập báo cáo thẩm định các nội dung điều chỉnh dự án đầu tư để trình Thủ tướng Chính phủ;</w:t>
      </w:r>
    </w:p>
    <w:p>
      <w:pPr>
        <w:spacing w:after="0" w:before="0" w:lineRule="auto" w:line="276"/>
        <w:jc w:val="both"/>
      </w:pPr>
      <w:r>
        <w:rPr>
          <w:rFonts w:ascii="Times New Roman" w:hAnsi="Times New Roman" w:cs="Times New Roman" w:eastAsia="Times New Roman"/>
          <w:b w:val="false"/>
          <w:sz w:val="26"/>
        </w:rPr>
        <w:t>- Bước 5: Thủ tướng Chính phủ quyết định chấp thuận điều chỉnh chủ trương đầu tư. Quyết định chấp thuận điều chỉnh chủ trương đầu tư được gửi cho Bộ Kế hoạch và Đầu tư, Cơ quan đăng ký đầu tư và nhà đầu tư, các bộ, cơ quan có liên quan đến việc thực hiện dự án đầu tư, cơ quan chấp thuận nhà đầu tư (nếu có).</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Trong thời hạn 03 ngày làm việc kể từ ngày nhận được hồ sơ hợp lệ, Bộ Kế hoạch và Đầu tư gửi hồ sơ cho cơ quan nhà nước có thẩm quyền theo quy định tại khoản 3 Điều 32 của Nghị định số 31/2021/NĐ-CP để lấy ý kiến về điều kiện hợp tác kinh doanh; + Trong thời hạn 15 ngày kể từ ngày nhận được hồ sơ hợp lệ, các cơ quan được lấy ý kiến có ý kiến về nội dung điều chỉnh dự án thuộc phạm vi quản lý nhà nước của cơ quan đó;  + Trong thời hạn 35 ngày kể từ ngày nhận được hồ sơ hợp lệ, Bộ Kế hoạch và Đầu tư lập báo cáo thẩm định các nội dung điều chỉnh dự án đầu tư để trình Thủ tướng Chính phủ; + Trong thời hạn 05 ngày làm việc kể từ ngày nhận được báo cáo thẩm định của Bộ Kế hoạch và Đầu tư, Thủ tướng Chính phủ quyết định chấp thuận điều chỉnh chủ trương đầu tư. </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 Trực tiếp tại trụ sở Bộ Kế hoạch và Đầu tư.</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Trong thời hạn 03 ngày làm việc kể từ ngày nhận được hồ sơ hợp lệ, Bộ Kế hoạch và Đầu tư gửi hồ sơ cho cơ quan nhà nước có thẩm quyền theo quy định tại khoản 3 Điều 32 của Nghị định số 31/2021/NĐ-CP để lấy ý kiến về điều kiện hợp tác kinh doanh; + Trong thời hạn 15 ngày kể từ ngày nhận được hồ sơ hợp lệ, các cơ quan được lấy ý kiến có ý kiến về nội dung điều chỉnh dự án thuộc phạm vi quản lý nhà nước của cơ quan đó;  + Trong thời hạn 35 ngày kể từ ngày nhận được hồ sơ hợp lệ, Bộ Kế hoạch và Đầu tư lập báo cáo thẩm định các nội dung điều chỉnh dự án đầu tư để trình Thủ tướng Chính phủ; + Trong thời hạn 05 ngày làm việc kể từ ngày nhận được báo cáo thẩm định của Bộ Kế hoạch và Đầu tư, Thủ tướng Chính phủ quyết định chấp thuận điều chỉnh chủ trương đầu tư. </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 Qua dịch vụ bưu chính công ích.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điều chỉnh dự án đầu tư;</w:t>
            </w:r>
          </w:p>
        </w:tc>
        <w:tc>
          <w:p/>
          <w:p>
            <w:pPr>
              <w:spacing w:after="0" w:before="0" w:lineRule="auto" w:line="276"/>
              <w:jc w:val="left"/>
            </w:pPr>
            <w:r>
              <w:rPr>
                <w:rFonts w:ascii="Times New Roman" w:hAnsi="Times New Roman" w:cs="Times New Roman" w:eastAsia="Times New Roman"/>
                <w:b w:val="false"/>
                <w:sz w:val="26"/>
              </w:rPr>
              <w:t>Mẫu A.I.11.g.docx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7</w:t>
            </w:r>
          </w:p>
        </w:tc>
      </w:tr>
      <w:tr>
        <w:tc>
          <w:p/>
          <w:p>
            <w:pPr>
              <w:spacing w:after="0" w:before="0" w:lineRule="auto" w:line="276"/>
              <w:jc w:val="left"/>
            </w:pPr>
            <w:r>
              <w:rPr>
                <w:rFonts w:ascii="Times New Roman" w:hAnsi="Times New Roman" w:cs="Times New Roman" w:eastAsia="Times New Roman"/>
                <w:b w:val="false"/>
                <w:sz w:val="26"/>
              </w:rPr>
              <w:t>- Báo cáo tình hình thực hiện dự án đầu tư đến thời điểm hợp tác kinh doanh;</w:t>
            </w:r>
          </w:p>
        </w:tc>
        <w:tc>
          <w:p/>
          <w:p>
            <w:pPr>
              <w:spacing w:after="0" w:before="0" w:lineRule="auto" w:line="276"/>
              <w:jc w:val="left"/>
            </w:pPr>
            <w:r>
              <w:rPr>
                <w:rFonts w:ascii="Times New Roman" w:hAnsi="Times New Roman" w:cs="Times New Roman" w:eastAsia="Times New Roman"/>
                <w:b w:val="false"/>
                <w:sz w:val="26"/>
              </w:rPr>
              <w:t>A.I.12Bocotnhhnhtrinkhaidnutnthiimiuchnh.docx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7</w:t>
            </w:r>
          </w:p>
        </w:tc>
      </w:tr>
      <w:tr>
        <w:tc>
          <w:p/>
          <w:p>
            <w:pPr>
              <w:spacing w:after="0" w:before="0" w:lineRule="auto" w:line="276"/>
              <w:jc w:val="left"/>
            </w:pPr>
            <w:r>
              <w:rPr>
                <w:rFonts w:ascii="Times New Roman" w:hAnsi="Times New Roman" w:cs="Times New Roman" w:eastAsia="Times New Roman"/>
                <w:b w:val="false"/>
                <w:sz w:val="26"/>
              </w:rPr>
              <w:t>- Bản sao hợp đồng hợp tác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8</w:t>
            </w:r>
          </w:p>
        </w:tc>
      </w:tr>
      <w:tr>
        <w:tc>
          <w:p/>
          <w:p>
            <w:pPr>
              <w:spacing w:after="0" w:before="0" w:lineRule="auto" w:line="276"/>
              <w:jc w:val="left"/>
            </w:pPr>
            <w:r>
              <w:rPr>
                <w:rFonts w:ascii="Times New Roman" w:hAnsi="Times New Roman" w:cs="Times New Roman" w:eastAsia="Times New Roman"/>
                <w:b w:val="false"/>
                <w:sz w:val="26"/>
              </w:rPr>
              <w:t>- Bản sao tài liệu về tư cách pháp lý của các bên tham gia hợp tác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8</w:t>
            </w:r>
          </w:p>
        </w:tc>
      </w:tr>
      <w:tr>
        <w:tc>
          <w:p/>
          <w:p>
            <w:pPr>
              <w:spacing w:after="0" w:before="0" w:lineRule="auto" w:line="276"/>
              <w:jc w:val="left"/>
            </w:pPr>
            <w:r>
              <w:rPr>
                <w:rFonts w:ascii="Times New Roman" w:hAnsi="Times New Roman" w:cs="Times New Roman" w:eastAsia="Times New Roman"/>
                <w:b w:val="false"/>
                <w:sz w:val="26"/>
              </w:rPr>
              <w:t>- Bản sao Giấy chứng nhận đăng ký đầu tư hoặc Quyết định chấp thuận chủ trương đầu tư, Quyết định chấp thuận nhà đầu tư (nếu có) của nhà đầu tư sử dụng quyền sử dụng đất, tài sản gắn liền với đất thuộc dự án đầu tưđể hợp tác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8</w:t>
            </w:r>
          </w:p>
        </w:tc>
      </w:tr>
      <w:tr>
        <w:tc>
          <w:p/>
          <w:p>
            <w:pPr>
              <w:spacing w:after="0" w:before="0" w:lineRule="auto" w:line="276"/>
              <w:jc w:val="left"/>
            </w:pPr>
            <w:r>
              <w:rPr>
                <w:rFonts w:ascii="Times New Roman" w:hAnsi="Times New Roman" w:cs="Times New Roman" w:eastAsia="Times New Roman"/>
                <w:b w:val="false"/>
                <w:sz w:val="26"/>
              </w:rPr>
              <w:t>- Bản sao một trong các giấy tờ sau: Giấy chứng nhận quyền sử dụng đất, Giấy chứng nhận quyền sở hữu nhà ở và quyền sử dụng đất ở, Giấy chứng nhận quyền sử dụng đất, quyền sở hữu nhà và và tài sản khác gắn liền với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8</w:t>
            </w:r>
          </w:p>
        </w:tc>
      </w:tr>
      <w:tr>
        <w:tc>
          <w:p/>
          <w:p>
            <w:pPr>
              <w:spacing w:after="0" w:before="0" w:lineRule="auto" w:line="276"/>
              <w:jc w:val="left"/>
            </w:pPr>
            <w:r>
              <w:rPr>
                <w:rFonts w:ascii="Times New Roman" w:hAnsi="Times New Roman" w:cs="Times New Roman" w:eastAsia="Times New Roman"/>
                <w:b w:val="false"/>
                <w:sz w:val="26"/>
              </w:rPr>
              <w:t>- Bản sao một trong các tài liệu sau của bên tham gia hợp tác kinh doanh: báo cáo tài chính 02 năm gần nhất hoặc báo cáo kiểm toán vốn chủ sở hữu của nhà đầu tư, cam kết hỗ trợ tài chính của công ty mẹ, cam kết hỗ trợ tài chính của tổ chức tài chính, bảo lãnh về năng lực tài chính của nhà đầu tư, tài liệu thuyết minh năng lực tài chính của nhà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8</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Kế hoạch và Đầu tư</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Thủ tướng Chính phủ</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Tại cơ quan hành chính nhà nước</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chấp thuận điều chỉnh chủ trương đầu tư của Thủ tướng Chính phủ</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31/2021/NĐ-CP</w:t>
            </w:r>
          </w:p>
        </w:tc>
        <w:tc>
          <w:p/>
          <w:p>
            <w:pPr>
              <w:spacing w:after="0" w:before="0" w:lineRule="auto" w:line="276"/>
              <w:jc w:val="left"/>
            </w:pPr>
            <w:r>
              <w:rPr>
                <w:rFonts w:ascii="Times New Roman" w:hAnsi="Times New Roman" w:cs="Times New Roman" w:eastAsia="Times New Roman"/>
                <w:b w:val="false"/>
                <w:sz w:val="26"/>
              </w:rPr>
              <w:t>Quy định chi tiết và hướng dẫn thi hành một số điều của Luật Đầu tư</w:t>
            </w:r>
          </w:p>
        </w:tc>
        <w:tc>
          <w:p/>
          <w:p>
            <w:pPr>
              <w:spacing w:after="0" w:before="0" w:lineRule="auto" w:line="276"/>
              <w:jc w:val="left"/>
            </w:pPr>
            <w:r>
              <w:rPr>
                <w:rFonts w:ascii="Times New Roman" w:hAnsi="Times New Roman" w:cs="Times New Roman" w:eastAsia="Times New Roman"/>
                <w:b w:val="false"/>
                <w:sz w:val="26"/>
              </w:rPr>
              <w:t>26-03-2021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03/2021/TT-BKHĐT</w:t>
            </w:r>
          </w:p>
        </w:tc>
        <w:tc>
          <w:p/>
          <w:p>
            <w:pPr>
              <w:spacing w:after="0" w:before="0" w:lineRule="auto" w:line="276"/>
              <w:jc w:val="left"/>
            </w:pPr>
            <w:r>
              <w:rPr>
                <w:rFonts w:ascii="Times New Roman" w:hAnsi="Times New Roman" w:cs="Times New Roman" w:eastAsia="Times New Roman"/>
                <w:b w:val="false"/>
                <w:sz w:val="26"/>
              </w:rPr>
              <w:t>quy định về mẫu văn bản, báo cáo liên quan đến hoạt động đầu tư tại Việt Nam, đầu tư từ Việt Nam ra nước ngoài và xúc tiến đầu</w:t>
            </w:r>
          </w:p>
        </w:tc>
        <w:tc>
          <w:p/>
          <w:p>
            <w:pPr>
              <w:spacing w:after="0" w:before="0" w:lineRule="auto" w:line="276"/>
              <w:jc w:val="left"/>
            </w:pPr>
            <w:r>
              <w:rPr>
                <w:rFonts w:ascii="Times New Roman" w:hAnsi="Times New Roman" w:cs="Times New Roman" w:eastAsia="Times New Roman"/>
                <w:b w:val="false"/>
                <w:sz w:val="26"/>
              </w:rPr>
              <w:t>09-04-2021</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61/2020/QH14</w:t>
            </w:r>
          </w:p>
        </w:tc>
        <w:tc>
          <w:p/>
          <w:p>
            <w:pPr>
              <w:spacing w:after="0" w:before="0" w:lineRule="auto" w:line="276"/>
              <w:jc w:val="left"/>
            </w:pPr>
            <w:r>
              <w:rPr>
                <w:rFonts w:ascii="Times New Roman" w:hAnsi="Times New Roman" w:cs="Times New Roman" w:eastAsia="Times New Roman"/>
                <w:b w:val="false"/>
                <w:sz w:val="26"/>
              </w:rPr>
              <w:t>Luật Đầu tư</w:t>
            </w:r>
          </w:p>
        </w:tc>
        <w:tc>
          <w:p/>
          <w:p>
            <w:pPr>
              <w:spacing w:after="0" w:before="0" w:lineRule="auto" w:line="276"/>
              <w:jc w:val="left"/>
            </w:pPr>
            <w:r>
              <w:rPr>
                <w:rFonts w:ascii="Times New Roman" w:hAnsi="Times New Roman" w:cs="Times New Roman" w:eastAsia="Times New Roman"/>
                <w:b w:val="false"/>
                <w:sz w:val="26"/>
              </w:rPr>
              <w:t>17-06-2020</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Dự án đầu tư thuộc thẩm quyền chấp thuận chủ trương đầu tư của Thủ tướng Chính phủ và thuộc một trong các trường hợp quy định tại khoản 3 Điều 41 Luật Đầu tư.
- Việc sử dụng quyền sử dụng đất, tài sản gắn liền với đất thuộc dự án đầu tư để hợp tác kinh doanh phải đáp ứng các điều kiện sau đây:
+ Điều kiện theo quy định của pháp luật đất đai về quyền và nghĩa vụ của người sử dụng đất, người có tài sản gắn liền với đất; quyền và nghĩa vụ của người nhận góp vốn bằng quyền sử dụng đất, tài sản gắn liền với đất; điều kiện góp vốn và nhận góp vốn bằng quyền sử dụng đất, tài sản gắn liền với đất; 
+ Điều kiện theo quy định của pháp luật về nhà ở, pháp luật về kinh doanh bất động sản, pháp luật về quản lý, sử dụng tài sản công và pháp luật có liên quan (nếu có); 
+ Điều kiện quy định tại Quyết định chấp thuận chủ trương đầu tư, Quyết định chấp thuận nhà đầu tư, Giấy chứng nhận đăng ký đầu tư, thỏa thuận giữa cơ quan có thẩm quyền và nhà đầu tư hoặc theo quy định khác của pháp luật có liên quan (nếu có); 
+ Điều kiện góp vốn và nhận vốn góp bằng tài sản của doanh nghiệp nhà nước theo quy định của pháp luật về quản lý, sử dụng vốn nhà nước đầu tư vào sản xuất, kinh doanh tại doanh nghiệp, pháp luật về quản lý, sử dụng tài sản công và pháp luật có liên quan đối với doanh nghiệp nhà nước;
+ Điều kiện góp vốn, mua cổ phần, mua phần vốn góp theo quy định tại khoản 2 Điều 24 của Luật Đầu tư và các Điều 15, 16 và 17 của Nghị định này đối với nhà đầu tư nước ngoài, tổ chức kinh tế quy định tại các điểm a, b và c khoản 1 Điều 23 của Luật Đầu tư và tổ chức kinh tế có vốn đầu tư nước ngoài;
+ Thực hiện các nghĩa vụ về tài chính với Nhà nước (nếu có) theo quy định của pháp luật.
+ Điều kiện hợp tác kinh doanh theo quy định của pháp luật có liên quan (nếu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Điều chỉnh, dự án đầu tư, trong trường hợp, sử dụng quyền sử dụng đất, tài sản gắn liền với đất, thuộc dự án đầu tư, để hợp tác kinh doanh, đối với dự án, thuộc thẩm quyền, chấp thuận chủ trương, của Thủ tướng Chính phủ</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2026-05-22T16:10:31Z</dcterms:created>
  <dc:creator>Apache POI</dc:creator>
</cp:coreProperties>
</file>