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nhà đầu tư thuộc thẩm quyền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Sở Tài chính.</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Sở Tài chính gửi hồ sơ; báo cáo kết quả mời quan tâm (đối với nhà đầu tư quy định tại điểm b khoản 3 Điều 29 của Nghị định số 31/2021/NĐ-CP) để lấy ý kiến của cơ quan nhà nước tại địa phương có liên quan. 
Đối với dự án của nhà đầu tư nước ngoài, tổ chức kinh tế có vốn đầu tư nước ngoài thực hiện tại đảo, xã, phường, thị trấn biên giới và xã, phường, thị trấn ven biển; khu vực khác có ảnh hưởng đến quốc phòng, an ninh, Cơ quan đăng ký đầu tư lấy ý kiến của Bộ Chỉ huy quân sự cấp tỉnh, Công an cấp tỉnh về việc đáp ứng các điều kiện bảo đảm quốc phòng, an ninh;</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đề nghị của Sở Tài chính, cơ quan được lấy ý kiến có ý kiến về nội dung thuộc phạm vi quản lý nhà nước của mình, gửi Sở Tài chính.</w:t>
      </w:r>
    </w:p>
    <w:p>
      <w:pPr>
        <w:spacing w:after="0" w:before="0" w:lineRule="auto" w:line="276"/>
        <w:jc w:val="both"/>
      </w:pPr>
      <w:r>
        <w:rPr>
          <w:rFonts w:ascii="Times New Roman" w:hAnsi="Times New Roman" w:cs="Times New Roman" w:eastAsia="Times New Roman"/>
          <w:b w:val="false"/>
          <w:sz w:val="26"/>
        </w:rPr>
        <w:t>- Bước 4: Trong thời hạn 14 ngày kể từ ngày nhận được hồ sơ hợp lệ, Sở Tài chính lập báo cáo thẩm định, trình Ủy ban nhân dân cấp tỉnh.</w:t>
      </w:r>
    </w:p>
    <w:p>
      <w:pPr>
        <w:spacing w:after="0" w:before="0" w:lineRule="auto" w:line="276"/>
        <w:jc w:val="both"/>
      </w:pPr>
      <w:r>
        <w:rPr>
          <w:rFonts w:ascii="Times New Roman" w:hAnsi="Times New Roman" w:cs="Times New Roman" w:eastAsia="Times New Roman"/>
          <w:b w:val="false"/>
          <w:sz w:val="26"/>
        </w:rPr>
        <w:t>- Bước 5: Trong thời hạn 03 ngày kể từ ngày nhận được hồ sơ và báo cáo thẩm định, Ủy ban nhân dân cấp tỉnh chấp thuận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nhà đầu tư;</w:t>
            </w:r>
          </w:p>
        </w:tc>
        <w:tc>
          <w:p/>
          <w:p>
            <w:pPr>
              <w:spacing w:after="0" w:before="0" w:lineRule="auto" w:line="276"/>
              <w:jc w:val="left"/>
            </w:pPr>
            <w:r>
              <w:rPr>
                <w:rFonts w:ascii="Times New Roman" w:hAnsi="Times New Roman" w:cs="Times New Roman" w:eastAsia="Times New Roman"/>
                <w:b w:val="false"/>
                <w:sz w:val="26"/>
              </w:rPr>
              <w:t>MauA.I.5.docx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nhà đầu tư theo Mẫu A.II.5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một trong các trường hợp:
+ Đã tổ chức đấu giá quyền sử dụng đất 02 lần mà chỉ có một nhà đầu tư đăng ký tham gia hoặc có nhà đầu tư đề nghị thực hiện dự án sau khi tổ chức đấu giá 02 lần mà không có người tham gia theo quy định của Luật Đất đai;
+ Đã thực hiện thủ tục mời quan tâm nhưng chỉ có một nhà đầu tư đăng ký và đáp ứng điều kiện mời quan tâm hoặc nhiều nhà đầu tư đăng ký nhưng chỉ có một nhà đầu tư đáp ứng điều kiện mời quan tâm theo quy định của pháp luật về đấu thầu.
- Đáp ứng các yêu cầu: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nhà đầu tư, thuộc thẩm quyền, của UBND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2026-05-21T05:50:02Z</dcterms:created>
  <dc:creator>Apache POI</dc:creator>
</cp:coreProperties>
</file>