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(Sở Tài chính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điều chỉnh dự án đầu tư liên quan đến việc thay đổi tên dự án đầu tư, tên nhà đầu tư tại Giấy chứng nhận đăng ký đầu tư hoặc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false"/>
          <w:sz w:val="26"/>
        </w:rPr>
        <w:t>- Bước 1: Nhà đầu tư nộp 01 bộ hồ sơ cho Sở Tài chính.</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Sở Tài chính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a2) Trường hợp nội dung điều chỉnh dự án đầu tư không thuộc trường hợp tại mục a1 nêu trên:</w:t>
      </w:r>
    </w:p>
    <w:p>
      <w:pPr>
        <w:spacing w:after="0" w:before="0" w:lineRule="auto" w:line="276"/>
        <w:jc w:val="both"/>
      </w:pPr>
      <w:r>
        <w:rPr>
          <w:rFonts w:ascii="Times New Roman" w:hAnsi="Times New Roman" w:cs="Times New Roman" w:eastAsia="Times New Roman"/>
          <w:b w:val="false"/>
          <w:sz w:val="26"/>
        </w:rPr>
        <w:t>- Bước 1: Nhà đầu tư nộp 01 bộ hồ sơ cho Sở Tài chính.</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được hồ sơ hợp lệ, Sở Tài chính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a3) Trường hợp điều chỉnh dự án đầu tư theo bản án, quyết định của tòa án, trọng tài đối với dự án đầu tư đã được cấp Giấy chứng nhận đăng ký đầu tư và không thuộc diện chấp thuận chủ trương đầu tư của UBND cấp tỉnh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Sở Tài chính.</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được hồ sơ, Sở Tài chính căn cứ bản án, quyết định có hiệu lực pháp luật của tòa án, trọng tài để điều chỉnh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Trường hợp tại mục 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việc thay đổi tên dự án đầu tư, tên nhà đầu tư (đối với trường hợp thay đổi tên dự án, tên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chuyển mục đích sử dụng đất hoặc văn bản bàn giao đất của cơ quan nhà nước có thẩm quyền (trường hợp điều chỉnh tiến độ thực hiện, thời hạn hoạt động của dự án đầu tư theo quy định tại điểm 1b Điều 27 của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Trường hợp tại mục a2: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Trường hợp tại mục a3: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Giấy chứng nhận đăng ký đầu tư và không thuộc diện chấp thuận điều chỉnh chủ trương đầu tư.
- Đối với trường hợp tại mục a1, nội dung điều chỉnh dự án đầu tư liên quan đến việc thay đổi tên dự án đầu tư, tên nhà đầu tư tại Giấy chứng nhận đăng ký đầu tư hoặc trường hợp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(Sở Tài chính thực hiện)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2026-05-21T05:49:57Z</dcterms:created>
  <dc:creator>Apache POI</dc:creator>
</cp:coreProperties>
</file>