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cấp Giấy chứng nhận đăng ký đầu tư và không thuộc diện chấp thuận chủ trương đầu tư của UBND cấp tỉnh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2 Điều 54 Nghị định số 31/2021/NĐ-CP cho Sở Kế hoạch và Đầu tư.</w:t>
      </w:r>
    </w:p>
    <w:p>
      <w:pPr>
        <w:spacing w:after="0" w:before="0" w:lineRule="auto" w:line="276"/>
        <w:jc w:val="both"/>
      </w:pPr>
      <w:r>
        <w:rPr>
          <w:rFonts w:ascii="Times New Roman" w:hAnsi="Times New Roman" w:cs="Times New Roman" w:eastAsia="Times New Roman"/>
          <w:b w:val="false"/>
          <w:sz w:val="26"/>
        </w:rPr>
        <w:t>- Bước 2: Sở Kế hoạch và Đầu tư căn cứ bản án, quyết định có hiệu lực pháp luật của tòa án, trọng tài thực hiện thủ tục điều chỉnh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Sở Kế hoạch và Đầu tư căn cứ bản án, quyết định có hiệu lực pháp luật của tòa án, trọng tài thực hiện thủ tục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kể từ ngày nhận được hồ sơ, Sở Kế hoạch và Đầu tư căn cứ bản án, quyết định có hiệu lực pháp luật của tòa án, trọng tài thực hiện thủ tục điều chỉnh Giấy chứng nhận đăng ký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 Vb de nghi dieu chinh du an dau tu (TH dieu chinh 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 án đã được cấp Giấy chứng nhận đăng ký đầu tư phải điều chỉnh theo bản án, quyết định có hiệu lực pháp luật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theo bản án, quyết định, của tòa án, trọng tài, đối với dự án đầu tư, đã được cấp, Giấy chứng nhận, đăng ký đầu tư, và không thuộc diện, chấp thuận, chủ trương, đầu tư của UBND, cấp tỉnh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2026-05-24T16:07:25Z</dcterms:created>
  <dc:creator>Apache POI</dc:creator>
</cp:coreProperties>
</file>